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6A03" w14:textId="77777777" w:rsidR="00343803" w:rsidRDefault="00343803"/>
    <w:p w14:paraId="4319E15D" w14:textId="77777777" w:rsidR="00845E52" w:rsidRDefault="000E5577">
      <w:pPr>
        <w:jc w:val="center"/>
      </w:pPr>
      <w:r>
        <w:rPr>
          <w:noProof/>
        </w:rPr>
        <w:drawing>
          <wp:inline distT="0" distB="0" distL="0" distR="0" wp14:anchorId="622200C5" wp14:editId="4D846CBE">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2E77251" w14:textId="77777777" w:rsidR="00845E52" w:rsidRDefault="000E5577">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Oak Savanna Restoration for Living Landscapes</w:t>
      </w:r>
      <w:r>
        <w:rPr>
          <w:b w:val="0"/>
          <w:color w:val="000000"/>
          <w:sz w:val="26"/>
        </w:rPr>
        <w:br/>
        <w:t>ML 2026 Request for Funding</w:t>
      </w:r>
    </w:p>
    <w:p w14:paraId="14197CD9" w14:textId="77777777" w:rsidR="00845E52" w:rsidRDefault="000E5577">
      <w:pPr>
        <w:pStyle w:val="Heading2"/>
        <w:spacing w:before="0" w:after="80"/>
        <w:jc w:val="center"/>
      </w:pPr>
      <w:r>
        <w:rPr>
          <w:color w:val="2C559C"/>
          <w:sz w:val="28"/>
          <w:u w:val="single"/>
        </w:rPr>
        <w:t>General Information</w:t>
      </w:r>
    </w:p>
    <w:p w14:paraId="30D74821" w14:textId="77777777" w:rsidR="00845E52" w:rsidRDefault="000E5577">
      <w:r>
        <w:rPr>
          <w:b/>
        </w:rPr>
        <w:t xml:space="preserve">Date: </w:t>
      </w:r>
      <w:r>
        <w:t>06/26/2025</w:t>
      </w:r>
    </w:p>
    <w:p w14:paraId="4DF6F5C6" w14:textId="77777777" w:rsidR="00845E52" w:rsidRDefault="000E5577">
      <w:r>
        <w:rPr>
          <w:b/>
        </w:rPr>
        <w:t xml:space="preserve">Proposal Title: </w:t>
      </w:r>
      <w:r>
        <w:t>Oak Savanna Restoration for Living Landscapes</w:t>
      </w:r>
    </w:p>
    <w:p w14:paraId="163F9A54" w14:textId="77777777" w:rsidR="00845E52" w:rsidRDefault="000E5577">
      <w:r>
        <w:rPr>
          <w:b/>
        </w:rPr>
        <w:t xml:space="preserve">Funds Requested: </w:t>
      </w:r>
      <w:r>
        <w:t>$3,623,200</w:t>
      </w:r>
    </w:p>
    <w:p w14:paraId="2110437D" w14:textId="77777777" w:rsidR="00845E52" w:rsidRDefault="000E5577">
      <w:r>
        <w:rPr>
          <w:b/>
        </w:rPr>
        <w:t xml:space="preserve">Confirmed Leverage Funds: </w:t>
      </w:r>
      <w:r>
        <w:t>$835,700</w:t>
      </w:r>
    </w:p>
    <w:p w14:paraId="07F9C404" w14:textId="77777777" w:rsidR="00845E52" w:rsidRDefault="000E5577">
      <w:r>
        <w:rPr>
          <w:b/>
        </w:rPr>
        <w:t xml:space="preserve">Is this proposal Scalable?: </w:t>
      </w:r>
      <w:r>
        <w:t>Yes</w:t>
      </w:r>
    </w:p>
    <w:p w14:paraId="13E18A5F" w14:textId="77777777" w:rsidR="00845E52" w:rsidRDefault="000E5577">
      <w:pPr>
        <w:pStyle w:val="Heading3"/>
        <w:spacing w:before="60" w:after="80"/>
      </w:pPr>
      <w:r>
        <w:rPr>
          <w:color w:val="254885"/>
          <w:sz w:val="26"/>
        </w:rPr>
        <w:t>Manager Information</w:t>
      </w:r>
    </w:p>
    <w:p w14:paraId="4E862BD6" w14:textId="77777777" w:rsidR="00845E52" w:rsidRDefault="000E5577">
      <w:r>
        <w:rPr>
          <w:b/>
        </w:rPr>
        <w:t xml:space="preserve">Manager's Name: </w:t>
      </w:r>
      <w:r>
        <w:t>Dan Shaw</w:t>
      </w:r>
      <w:r>
        <w:rPr>
          <w:b/>
        </w:rPr>
        <w:br/>
        <w:t xml:space="preserve">Title: </w:t>
      </w:r>
      <w:r>
        <w:t>Senior Ecologist/Vegetation Specialist</w:t>
      </w:r>
      <w:r>
        <w:rPr>
          <w:b/>
        </w:rPr>
        <w:br/>
        <w:t xml:space="preserve">Organization: </w:t>
      </w:r>
      <w:r>
        <w:t>Minnesota Board of Water and Soil Resources</w:t>
      </w:r>
      <w:r>
        <w:rPr>
          <w:b/>
        </w:rPr>
        <w:br/>
        <w:t xml:space="preserve">Address: </w:t>
      </w:r>
      <w:r>
        <w:t xml:space="preserve">520 Lafayette Road North  </w:t>
      </w:r>
      <w:r>
        <w:rPr>
          <w:b/>
        </w:rPr>
        <w:br/>
        <w:t xml:space="preserve">City: </w:t>
      </w:r>
      <w:r>
        <w:t>Saint Paul, MN 55904</w:t>
      </w:r>
      <w:r>
        <w:rPr>
          <w:b/>
        </w:rPr>
        <w:br/>
        <w:t xml:space="preserve">Email: </w:t>
      </w:r>
      <w:r>
        <w:t>Dan.Shaw@state.mn.us</w:t>
      </w:r>
      <w:r>
        <w:rPr>
          <w:b/>
        </w:rPr>
        <w:br/>
        <w:t xml:space="preserve">Office Number: </w:t>
      </w:r>
      <w:r>
        <w:t xml:space="preserve"> </w:t>
      </w:r>
      <w:r>
        <w:rPr>
          <w:b/>
        </w:rPr>
        <w:br/>
        <w:t xml:space="preserve">Mobile Number: </w:t>
      </w:r>
      <w:r>
        <w:t>612-236-6291</w:t>
      </w:r>
      <w:r>
        <w:rPr>
          <w:b/>
        </w:rPr>
        <w:br/>
        <w:t xml:space="preserve">Fax Number: </w:t>
      </w:r>
      <w:r>
        <w:t xml:space="preserve"> </w:t>
      </w:r>
      <w:r>
        <w:rPr>
          <w:b/>
        </w:rPr>
        <w:br/>
        <w:t xml:space="preserve">Website: </w:t>
      </w:r>
      <w:r>
        <w:t>https://bwsr.state.mn.us/</w:t>
      </w:r>
    </w:p>
    <w:p w14:paraId="0C4C9BF8" w14:textId="77777777" w:rsidR="00845E52" w:rsidRDefault="000E5577">
      <w:pPr>
        <w:pStyle w:val="Heading3"/>
        <w:spacing w:before="60" w:after="80"/>
      </w:pPr>
      <w:r>
        <w:rPr>
          <w:color w:val="254885"/>
          <w:sz w:val="26"/>
        </w:rPr>
        <w:t>Location Information</w:t>
      </w:r>
    </w:p>
    <w:p w14:paraId="720829CB" w14:textId="77777777" w:rsidR="00845E52" w:rsidRDefault="000E5577">
      <w:r>
        <w:rPr>
          <w:b/>
        </w:rPr>
        <w:t xml:space="preserve">County Location(s): </w:t>
      </w:r>
    </w:p>
    <w:p w14:paraId="3E38537F" w14:textId="77777777" w:rsidR="00845E52" w:rsidRDefault="000E5577">
      <w:pPr>
        <w:pStyle w:val="BodyText"/>
      </w:pPr>
      <w:r>
        <w:rPr>
          <w:b/>
        </w:rPr>
        <w:t>Eco regions in which work will take place:</w:t>
      </w:r>
    </w:p>
    <w:p w14:paraId="11E807A1" w14:textId="77777777" w:rsidR="00845E52" w:rsidRDefault="000E5577">
      <w:pPr>
        <w:ind w:left="360"/>
      </w:pPr>
      <w:r>
        <w:t>Southeast Forest</w:t>
      </w:r>
    </w:p>
    <w:p w14:paraId="0D7972D3" w14:textId="77777777" w:rsidR="00845E52" w:rsidRDefault="000E5577">
      <w:pPr>
        <w:ind w:left="360"/>
      </w:pPr>
      <w:r>
        <w:t>Forest / Prairie Transition</w:t>
      </w:r>
    </w:p>
    <w:p w14:paraId="0736B922" w14:textId="77777777" w:rsidR="00845E52" w:rsidRDefault="000E5577">
      <w:pPr>
        <w:ind w:left="360"/>
      </w:pPr>
      <w:r>
        <w:t>Metro / Urban</w:t>
      </w:r>
    </w:p>
    <w:p w14:paraId="596914D5" w14:textId="77777777" w:rsidR="00845E52" w:rsidRDefault="000E5577">
      <w:pPr>
        <w:ind w:left="360"/>
      </w:pPr>
      <w:r>
        <w:t>Prairie</w:t>
      </w:r>
    </w:p>
    <w:p w14:paraId="78F54AAD" w14:textId="77777777" w:rsidR="001D6589" w:rsidRDefault="001D6589">
      <w:pPr>
        <w:rPr>
          <w:b/>
        </w:rPr>
      </w:pPr>
      <w:r>
        <w:rPr>
          <w:b/>
        </w:rPr>
        <w:br w:type="page"/>
      </w:r>
    </w:p>
    <w:p w14:paraId="2F511429" w14:textId="0C5D78F0" w:rsidR="00845E52" w:rsidRDefault="000E5577">
      <w:pPr>
        <w:pStyle w:val="BodyText"/>
      </w:pPr>
      <w:r>
        <w:rPr>
          <w:b/>
        </w:rPr>
        <w:lastRenderedPageBreak/>
        <w:t>Activity types:</w:t>
      </w:r>
    </w:p>
    <w:p w14:paraId="547F2822" w14:textId="77777777" w:rsidR="00845E52" w:rsidRDefault="000E5577">
      <w:pPr>
        <w:ind w:left="360"/>
      </w:pPr>
      <w:r>
        <w:t>Enhance</w:t>
      </w:r>
    </w:p>
    <w:p w14:paraId="2D3385E2" w14:textId="77777777" w:rsidR="00845E52" w:rsidRDefault="000E5577">
      <w:pPr>
        <w:ind w:left="360"/>
      </w:pPr>
      <w:r>
        <w:t>Restore</w:t>
      </w:r>
    </w:p>
    <w:p w14:paraId="2CA3E74D" w14:textId="77777777" w:rsidR="00845E52" w:rsidRDefault="000E5577">
      <w:pPr>
        <w:pStyle w:val="BodyText"/>
      </w:pPr>
      <w:r>
        <w:rPr>
          <w:b/>
        </w:rPr>
        <w:t>Priority resources addressed by activity:</w:t>
      </w:r>
    </w:p>
    <w:p w14:paraId="26ED314B" w14:textId="77777777" w:rsidR="00845E52" w:rsidRDefault="000E5577">
      <w:pPr>
        <w:ind w:left="360"/>
      </w:pPr>
      <w:r>
        <w:t>Habitat</w:t>
      </w:r>
    </w:p>
    <w:p w14:paraId="7488C630" w14:textId="77777777" w:rsidR="00845E52" w:rsidRDefault="000E5577">
      <w:pPr>
        <w:ind w:left="360"/>
      </w:pPr>
      <w:r>
        <w:t>Forest</w:t>
      </w:r>
    </w:p>
    <w:p w14:paraId="3E280544" w14:textId="77777777" w:rsidR="00845E52" w:rsidRDefault="000E5577">
      <w:pPr>
        <w:ind w:left="360"/>
      </w:pPr>
      <w:r>
        <w:t>Prairie</w:t>
      </w:r>
    </w:p>
    <w:p w14:paraId="205ED5DA" w14:textId="77777777" w:rsidR="00845E52" w:rsidRDefault="000E5577">
      <w:pPr>
        <w:pStyle w:val="Heading2"/>
        <w:spacing w:before="0" w:after="80"/>
        <w:jc w:val="center"/>
      </w:pPr>
      <w:r>
        <w:rPr>
          <w:color w:val="2C559C"/>
          <w:sz w:val="28"/>
          <w:u w:val="single"/>
        </w:rPr>
        <w:t>Narrative</w:t>
      </w:r>
    </w:p>
    <w:p w14:paraId="713EBEFE" w14:textId="77777777" w:rsidR="00845E52" w:rsidRDefault="000E5577">
      <w:pPr>
        <w:pStyle w:val="Heading3"/>
        <w:spacing w:before="60" w:after="80"/>
      </w:pPr>
      <w:r>
        <w:rPr>
          <w:color w:val="254885"/>
          <w:sz w:val="26"/>
        </w:rPr>
        <w:t>Abstract</w:t>
      </w:r>
    </w:p>
    <w:p w14:paraId="0F321C53" w14:textId="77777777" w:rsidR="00845E52" w:rsidRDefault="000E5577">
      <w:r>
        <w:t xml:space="preserve">Minnesota’s native pollinators and migratory birds are in decline, with oak </w:t>
      </w:r>
      <w:r>
        <w:t>savannas—once widespread—now among the state’s most threatened ecosystems. These biodiverse landscapes support rare species like the Karner blue butterfly and Rusty patched bumble bee, while also withstanding climate extremes. To reverse habitat loss, the Board of Water and Soil Resources (BWSR) will launch a program to restore 1,000 acres of oak savanna and associated ecosystems on local public lands and Tribal lands. Partnering with Xerces Society, BWSR will develop site-specific conservation plans that p</w:t>
      </w:r>
      <w:r>
        <w:t>rioritize habitat needs, support pollinators, and support state climate resiliency goals.</w:t>
      </w:r>
    </w:p>
    <w:p w14:paraId="10754DFC" w14:textId="77777777" w:rsidR="00845E52" w:rsidRDefault="000E5577">
      <w:pPr>
        <w:pStyle w:val="Heading3"/>
        <w:spacing w:before="60" w:after="80"/>
      </w:pPr>
      <w:r>
        <w:rPr>
          <w:color w:val="254885"/>
          <w:sz w:val="26"/>
        </w:rPr>
        <w:t>Design and Scope of Work</w:t>
      </w:r>
    </w:p>
    <w:p w14:paraId="7F3D6800" w14:textId="77777777" w:rsidR="00845E52" w:rsidRDefault="000E5577">
      <w:r>
        <w:t>Minnesota’s oak savanna ecosystems, once covering vast areas across the state, are now on the brink of disappearance, with less than 0.1% of their original extent remaining. These habitats are among the most imperiled in the Midwest, yet they offer extraordinary ecological value, community benefits, and urgent conservation opportunities. Their rapid loss has had cascading impacts on biodiversity—particularly for Minnesota’s Species of Greatest Conservation Need (SGCN)—many of which are now experiencing dram</w:t>
      </w:r>
      <w:r>
        <w:t>atic population declines. The urgency to act has never been greater. Without immediate, coordinated efforts, species such as the Rusty patched bumble bee, Karner blue butterfly, Red-headed Woodpecker, and Regal fritillary will continue to decline toward extirpation. These species rely on the unique mosaic of open canopy, rich wildflower diversity, and native grasses found only in functioning oak savannas. With climate change accelerating habitat degradation, restoring and protecting these systems is critica</w:t>
      </w:r>
      <w:r>
        <w:t>l for securing resilient ecosystems.</w:t>
      </w:r>
      <w:r>
        <w:br/>
      </w:r>
      <w:r>
        <w:br/>
        <w:t xml:space="preserve">At the same time, oak savannas present a powerful opportunity for strategic investment in biodiversity, climate adaptation, and landscape-scale restoration. They provide seasonal resources across taxa, serve as migratory stopover points, and offer refuge during extreme weather events. Oak savannas naturally sequester carbon, improve water retention, filter pollutants, and support healthy soil microbiomes—making them a nature-based solution to multiple environmental and </w:t>
      </w:r>
      <w:r>
        <w:t>public health challenges. These benefits directly serve the public by enhancing air and water quality, mitigating flood risks, and contributing to regional climate stability. Restored savannas also support pollinator populations that are essential to food systems and agriculture, helping sustain crop productivity and ecological balance in surrounding landscapes.</w:t>
      </w:r>
      <w:r>
        <w:br/>
      </w:r>
      <w:r>
        <w:br/>
        <w:t>Beyond environmental services, this program offers significant public engagement and educational benefits. Oak savannas are uniquely suited for ou</w:t>
      </w:r>
      <w:r>
        <w:t xml:space="preserve">tdoor recreation, nature-based education, and cultural enrichment. Restored sites can serve as accessible community green spaces where people of all ages can hike, birdwatch, study native ecosystems, and reconnect with the land. These experiences improve mental and physical health, foster </w:t>
      </w:r>
      <w:r>
        <w:lastRenderedPageBreak/>
        <w:t>environmental stewardship, and strengthen community identity. In addition, the program will engage local landowners, Tribal nations, students, and volunteers in hands-on conservation work—offering training, workforce devel</w:t>
      </w:r>
      <w:r>
        <w:t>opment opportunities, and citizen science participation.</w:t>
      </w:r>
      <w:r>
        <w:br/>
      </w:r>
      <w:r>
        <w:br/>
        <w:t>The absence of a dedicated statewide program focused on oak savannas leaves a critical gap in Minnesota’s conservation strategy. This project proposes a bold and timely response: a comprehensive initiative to restore, establish, and manage oak savannas through demonstration projects, updated seed mixes, project mentorship, best management practice development, and habitat prioritization mapping. Through a competitive RFP, BWSR will enter into an agre</w:t>
      </w:r>
      <w:r>
        <w:t xml:space="preserve">ement with participants that will be selected through an interagency scoring and ranking process where only high quality projects will be selected.  </w:t>
      </w:r>
      <w:r>
        <w:br/>
      </w:r>
      <w:r>
        <w:br/>
        <w:t>This is a moment of both crisis and opportunity—a chance to reverse species decline, build climate and community resilience, and restore one of the most ecologically important and publicly valuable landscapes in the state. Through this initiative, oak savannas can once again become vibrant refuges for native wildlife, living classrooms for conservation innova</w:t>
      </w:r>
      <w:r>
        <w:t>tion, and welcoming public spaces that benefit all Minnesotans.</w:t>
      </w:r>
    </w:p>
    <w:p w14:paraId="71CBD5B0" w14:textId="77777777" w:rsidR="00845E52" w:rsidRDefault="000E5577">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33D1AD5C" w14:textId="77777777" w:rsidR="00845E52" w:rsidRDefault="000E5577">
      <w:r>
        <w:t xml:space="preserve">In support of the Board of Water and Soil Resources’ (BWSR) Living Landscape Initiative, BWSR will build a new program to establish and restore approximately 1,000 acres of oak savanna, supporting woodlands, and tallgrass prairie strategically located in the Eastern Broadleaf Forest Province. Eligible projects will be limited to city and county-owned public lands, which ensures that restored areas remain permanently accessible to the public, support community engagement, and serve as lasting public assets. </w:t>
      </w:r>
      <w:r>
        <w:t>Focusing on these public lands maximizes opportunities for inclusive access, outdoor education, and nature-based recreation for residents of all backgrounds, while providing large, visible demonstration sites for ecological restoration.</w:t>
      </w:r>
      <w:r>
        <w:br/>
      </w:r>
      <w:r>
        <w:br/>
        <w:t>Project selection, placement, and planning will be driven by the habitat needs of a wide range of wildlife, with a strong emphasis on enhancing conditions for the 90 plus species in greatest conservation need that rely on oak savannas. Each project will have a customized co</w:t>
      </w:r>
      <w:r>
        <w:t>nservation plan developed in partnership with the Xerces Society, identifying target flora and fauna species. These species include the federally endangered Rusty patched bumble bee and the Karner blue butterfly, the regal fritillary and monarch butterflies, and other imperiled native pollinators. Conservation plans will incorporate specific host plants needed for caterpillars and ensure that seed mixes reflect diverse native plant communities that support food webs, maximize pollination, and deliver essent</w:t>
      </w:r>
      <w:r>
        <w:t>ial ecosystem services to surrounding farmlands and natural areas.</w:t>
      </w:r>
      <w:r>
        <w:br/>
      </w:r>
      <w:r>
        <w:br/>
        <w:t>By focusing on city and county lands, the program creates highly visible, locally supported conservation hubs that can strengthen regional wildlife corridors and contribute to landscape-scale habitat connectivity. These restored ecosystems will directly support Minnesota’s efforts to reverse pollinator decline, expand habitat for species of greatest conservation need, and build resilience to climate change. This work aligns with the Governo</w:t>
      </w:r>
      <w:r>
        <w:t>r’s Pollinator Executive Order (EO 19-28), BWSR’s Pollinator Plan, and advances the goals of the Interagency Pollinator Protection Team, as well as Minnesota’s Climate Action Framework Initiatives—specifically Goal 2: Climate-Smart Natural and Working Lands and Goal 3: Resilient Communities. Through this targeted, collaborative, and place-based approach, BWSR will deliver high-impact restoration that benefits both wildlife and people for generations.</w:t>
      </w:r>
    </w:p>
    <w:p w14:paraId="06E1A8BB" w14:textId="77777777" w:rsidR="001D6589" w:rsidRDefault="001D6589">
      <w:pPr>
        <w:rPr>
          <w:rFonts w:asciiTheme="majorHAnsi" w:eastAsiaTheme="majorEastAsia" w:hAnsiTheme="majorHAnsi" w:cstheme="majorBidi"/>
          <w:b/>
          <w:bCs/>
          <w:color w:val="254885"/>
          <w:sz w:val="26"/>
        </w:rPr>
      </w:pPr>
      <w:r>
        <w:rPr>
          <w:color w:val="254885"/>
          <w:sz w:val="26"/>
        </w:rPr>
        <w:br w:type="page"/>
      </w:r>
    </w:p>
    <w:p w14:paraId="0DF475F8" w14:textId="753ED797" w:rsidR="00845E52" w:rsidRDefault="000E5577">
      <w:pPr>
        <w:pStyle w:val="Heading3"/>
        <w:spacing w:before="60" w:after="80"/>
      </w:pPr>
      <w:r>
        <w:rPr>
          <w:color w:val="254885"/>
          <w:sz w:val="26"/>
        </w:rPr>
        <w:lastRenderedPageBreak/>
        <w:t xml:space="preserve">What are the elements of this proposal that are critical from a timing perspective? </w:t>
      </w:r>
    </w:p>
    <w:p w14:paraId="765E72DF" w14:textId="77777777" w:rsidR="00845E52" w:rsidRDefault="000E5577">
      <w:r>
        <w:t>Timing is critical for launching an oak savanna restoration program due to accelerating species declines, climate threats, and emerging opportunities. Many Species of Greatest Conservation Need—such as the Rusty patched bumble bee and regal fritillary—are nearing population collapse, and immediate action is needed to prevent irreversible losses. Restoring oak savannas now ensures these ecosystems are in place to buffer climate impacts and serve as corridors for migrating species. Key funding windows, includ</w:t>
      </w:r>
      <w:r>
        <w:t>ing federal climate and conservation programs, are currently available but time-limited. Restoration also depends on seasonal cycles, native seed availability, and landowner engagement, all of which require early coordination. Additionally, several unprotected savanna remnants remain vulnerable to development or degradation, making their identification and restoration urgent. Delaying action risks losing irreplaceable habitat, missing strategic funding, and falling behind on climate adaptation. Acting now m</w:t>
      </w:r>
      <w:r>
        <w:t>aximizes ecological, economic, and public benefits while momentum and opportunity are aligned.</w:t>
      </w:r>
    </w:p>
    <w:p w14:paraId="2069D5AA" w14:textId="77777777" w:rsidR="00845E52" w:rsidRDefault="000E5577">
      <w:pPr>
        <w:pStyle w:val="Heading3"/>
        <w:spacing w:before="60" w:after="80"/>
      </w:pPr>
      <w:r>
        <w:rPr>
          <w:color w:val="254885"/>
          <w:sz w:val="26"/>
        </w:rPr>
        <w:t xml:space="preserve">Describe how the proposal expands habitat corridors or complexes and/or addresses habitat fragmentation: </w:t>
      </w:r>
    </w:p>
    <w:p w14:paraId="1736AFF4" w14:textId="77777777" w:rsidR="00845E52" w:rsidRDefault="000E5577">
      <w:r>
        <w:t>Restoring and enhancing oak savannas in Minnesota is a crucial conservation strategy that addresses habitat fragmentation and helps establish functional habitat corridors across the state’s fragmented landscapes. Oak savannas—once covering nearly 10% of Minnesota’s landscape—are a transitional ecosystem between tallgrass prairie and deciduous forest, characterized by widely spaced oak trees, a diverse understory of native grasses and wildflowers, and frequent natural fires. Due to agricultural expansion, ur</w:t>
      </w:r>
      <w:r>
        <w:t>ban development, fire suppression, and invasive species, less than 0.1% of this ecosystem remains, making it one of the rarest and most threatened natural communities in the region.</w:t>
      </w:r>
      <w:r>
        <w:br/>
      </w:r>
      <w:r>
        <w:br/>
        <w:t>Habitat fragmentation is a major threat to wildlife in Minnesota. Fragmentation disrupts natural processes such as migration, dispersal, and breeding, and it increases edge effects, making remaining habitats more vulnerable to invasive species, disease, and climate stress. Many of the remaining oak savanna remnants exist as iso</w:t>
      </w:r>
      <w:r>
        <w:t>lated parcels surrounded by farmland, roads, and developed areas, further restricting the movement of native species and reducing genetic exchange between populations.</w:t>
      </w:r>
      <w:r>
        <w:br/>
        <w:t>This program will directly counter these threats by creating or reconnecting patches of habitat across the landscape. Restoration activities will prioritize targeted savanna remnants or degraded grasslands adjacent to other natural areas. This program will strategically select projects through a competitive application process and use program</w:t>
      </w:r>
      <w:r>
        <w:t xml:space="preserve"> scoring and ranking criteria to ensure selected projects build and reinforce corridors that allow wildlife to move safely across otherwise fragmented regions. These corridors are essential for species that require large territories, seasonal movement, or multiple habitat types during different life stages.</w:t>
      </w:r>
      <w:r>
        <w:br/>
      </w:r>
      <w:r>
        <w:br/>
        <w:t>Restored oak savannas provide diverse structural features that support wildlife. The open canopy allows sunlight to reach the ground, promoting a rich understory of flowering plants and grasses that off</w:t>
      </w:r>
      <w:r>
        <w:t>er food and shelter to pollinators like the Rusty patched bumble bee (a federally endangered species). Standing oaks and snags provide nesting cavities for species such as Red-headed Woodpeckers, Eastern Bluebirds, and bats. Shrubs and grasses offer cover for small mammals and ground-nesting birds. Moreover, oak trees produce acorns that serve as a critical food resource.</w:t>
      </w:r>
    </w:p>
    <w:p w14:paraId="2808EB46" w14:textId="77777777" w:rsidR="00845E52" w:rsidRDefault="000E5577">
      <w:pPr>
        <w:pStyle w:val="Heading3"/>
        <w:spacing w:before="60" w:after="80"/>
      </w:pPr>
      <w:r>
        <w:rPr>
          <w:color w:val="254885"/>
          <w:sz w:val="26"/>
        </w:rPr>
        <w:t xml:space="preserve">Which top 2 Conservation Plans referenced in MS97A.056, subd. 3a are most applicable to this project? </w:t>
      </w:r>
    </w:p>
    <w:p w14:paraId="7936A8C7" w14:textId="77777777" w:rsidR="00845E52" w:rsidRDefault="000E5577">
      <w:pPr>
        <w:ind w:left="360"/>
      </w:pPr>
      <w:r>
        <w:t>Minnesota DNR Nongame Wildlife Plans</w:t>
      </w:r>
    </w:p>
    <w:p w14:paraId="40F5DE04" w14:textId="77777777" w:rsidR="00845E52" w:rsidRDefault="000E5577">
      <w:pPr>
        <w:ind w:left="360"/>
      </w:pPr>
      <w:r>
        <w:lastRenderedPageBreak/>
        <w:t>Minnesota's Wildlife Action Plan 2015-2025</w:t>
      </w:r>
    </w:p>
    <w:p w14:paraId="335325E2" w14:textId="77777777" w:rsidR="00845E52" w:rsidRDefault="000E5577">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7E10E32" w14:textId="77777777" w:rsidR="00845E52" w:rsidRDefault="000E5577">
      <w:r>
        <w:t>Oak savanna restoration will create resilience to climate change impacts and allow wildlife and native vegetation species to shift their ranges northward or to higher quality sites in response to changing temperature and precipitation patterns. Based on current research oak trees have been identified as one of few species that can withstand climate change. The mixture of tree cover and open prairie will moderate local temperatures and increase the landscapes ability to reflect heat, resulting in less heat b</w:t>
      </w:r>
      <w:r>
        <w:t>uildup and more favorable conditions for wildlife.  Furthermore, oak savannas build soil health and effectively store carbon in the soil, helping stabilize ecosystems and buffer surrounding areas from disturbances.</w:t>
      </w:r>
    </w:p>
    <w:p w14:paraId="2FEA4565" w14:textId="77777777" w:rsidR="00845E52" w:rsidRDefault="000E5577">
      <w:pPr>
        <w:pStyle w:val="Heading3"/>
        <w:spacing w:before="60" w:after="80"/>
      </w:pPr>
      <w:r>
        <w:rPr>
          <w:color w:val="254885"/>
          <w:sz w:val="26"/>
        </w:rPr>
        <w:t xml:space="preserve">Which LSOHC section priorities are addressed in this proposal? </w:t>
      </w:r>
    </w:p>
    <w:p w14:paraId="4974F421" w14:textId="77777777" w:rsidR="00845E52" w:rsidRDefault="000E5577">
      <w:pPr>
        <w:pStyle w:val="BodyText"/>
      </w:pPr>
      <w:r>
        <w:rPr>
          <w:b/>
        </w:rPr>
        <w:t>Forest / Prairie Transition</w:t>
      </w:r>
    </w:p>
    <w:p w14:paraId="26C677EC" w14:textId="77777777" w:rsidR="00845E52" w:rsidRDefault="000E5577">
      <w:pPr>
        <w:ind w:left="360"/>
      </w:pPr>
      <w:r>
        <w:t>Protect, enhance, and restore rare native remnant prairie</w:t>
      </w:r>
    </w:p>
    <w:p w14:paraId="26F35BB9" w14:textId="77777777" w:rsidR="00845E52" w:rsidRDefault="000E5577">
      <w:pPr>
        <w:pStyle w:val="BodyText"/>
      </w:pPr>
      <w:r>
        <w:rPr>
          <w:b/>
        </w:rPr>
        <w:t>Metro / Urban</w:t>
      </w:r>
    </w:p>
    <w:p w14:paraId="61128A84" w14:textId="77777777" w:rsidR="00845E52" w:rsidRDefault="000E5577">
      <w:pPr>
        <w:ind w:left="360"/>
      </w:pPr>
      <w:r>
        <w:t>Protect, enhance, and restore remnant native prairie, Big Woods forests, and oak savanna with an emphasis on areas with high biological diversity</w:t>
      </w:r>
    </w:p>
    <w:p w14:paraId="1F58E0A4" w14:textId="77777777" w:rsidR="00845E52" w:rsidRDefault="000E5577">
      <w:pPr>
        <w:pStyle w:val="BodyText"/>
      </w:pPr>
      <w:r>
        <w:rPr>
          <w:b/>
        </w:rPr>
        <w:t>Prairie</w:t>
      </w:r>
    </w:p>
    <w:p w14:paraId="2FAEC2A1" w14:textId="77777777" w:rsidR="00845E52" w:rsidRDefault="000E5577">
      <w:pPr>
        <w:ind w:left="360"/>
      </w:pPr>
      <w:r>
        <w:t>Protect, enhance, and restore remnant native prairie, Big Woods forests, and oak savanna</w:t>
      </w:r>
    </w:p>
    <w:p w14:paraId="5E6D662A" w14:textId="77777777" w:rsidR="00845E52" w:rsidRDefault="000E5577">
      <w:pPr>
        <w:pStyle w:val="BodyText"/>
      </w:pPr>
      <w:r>
        <w:rPr>
          <w:b/>
        </w:rPr>
        <w:t>Southeast Forest</w:t>
      </w:r>
    </w:p>
    <w:p w14:paraId="25F544A2" w14:textId="77777777" w:rsidR="00845E52" w:rsidRDefault="000E5577">
      <w:pPr>
        <w:ind w:left="360"/>
      </w:pPr>
      <w:r>
        <w:t xml:space="preserve">Protect, enhance, and restore remnant goat </w:t>
      </w:r>
      <w:r>
        <w:t>prairies</w:t>
      </w:r>
    </w:p>
    <w:p w14:paraId="4D56B97E" w14:textId="77777777" w:rsidR="00845E52" w:rsidRDefault="000E5577">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316EAEC" w14:textId="77777777" w:rsidR="00845E52" w:rsidRDefault="000E5577">
      <w:r>
        <w:t>Once covering 10% of the landscape, supporting a wide range species oak savannas are an important part of Minnesota's history.  Cities, counties, and Tribal governments play a critical role in ensuring the long-term success and maintenance of project sites for the benefit of identified target species. Their ongoing commitment helps translate short-term restoration efforts into lasting conservation outcomes by leveraging their institutional resources, expertise, and partnerships. These entities often have na</w:t>
      </w:r>
      <w:r>
        <w:t>tural resource staff or land management departments capable of implementing adaptive management plans that include prescribed fire rotations to maintain savanna structure, invasive species control to protect native plant communities, and ongoing interseeding or thinning to sustain open-canopy conditions vital for pollinators and grassland birds. With access to local, state, and federal funding—such as conservation levies, grants, and stewardship funds—public landowners can support long-term maintenance on l</w:t>
      </w:r>
      <w:r>
        <w:t>ands designated for permanent conservation, such as parks and nature reserves. They frequently collaborate with technical experts from conservation organizations, Soil and Water Conservation Districts (SWCDs), BWSR, universities, and groups like the Xerces Society to develop science-based plans tailored to target species. These partnerships ensure effective monitoring, adaptive strategies, and long-term habitat health. Public access to these lands also provides opportunities for community engagement through</w:t>
      </w:r>
      <w:r>
        <w:t xml:space="preserve"> education, interpretive signage, citizen science, and volunteer events, while Tribal governments can further </w:t>
      </w:r>
      <w:r>
        <w:lastRenderedPageBreak/>
        <w:t>integrate traditional ecological knowledge into site design and species selection. Together, these efforts create a foundation for thriving, well-managed oak savanna habitats that deliver enduring ecological benefits and reflect a lasting conservation vision.</w:t>
      </w:r>
    </w:p>
    <w:p w14:paraId="713F1288" w14:textId="77777777" w:rsidR="00845E52" w:rsidRDefault="000E5577">
      <w:pPr>
        <w:pStyle w:val="Heading2"/>
        <w:spacing w:before="0" w:after="80"/>
        <w:jc w:val="center"/>
      </w:pPr>
      <w:r>
        <w:rPr>
          <w:color w:val="2C559C"/>
          <w:sz w:val="28"/>
          <w:u w:val="single"/>
        </w:rPr>
        <w:t>Outcomes</w:t>
      </w:r>
    </w:p>
    <w:p w14:paraId="1BB6F175" w14:textId="77777777" w:rsidR="00845E52" w:rsidRDefault="000E5577">
      <w:pPr>
        <w:pStyle w:val="Heading3"/>
        <w:spacing w:before="60" w:after="80"/>
      </w:pPr>
      <w:r>
        <w:rPr>
          <w:color w:val="254885"/>
          <w:sz w:val="26"/>
        </w:rPr>
        <w:t xml:space="preserve">Programs in forest-prairie transition region: </w:t>
      </w:r>
    </w:p>
    <w:p w14:paraId="5459C755" w14:textId="77777777" w:rsidR="00845E52" w:rsidRDefault="000E5577">
      <w:pPr>
        <w:ind w:left="360"/>
      </w:pPr>
      <w:r>
        <w:t xml:space="preserve">Protected, restored, and enhanced nesting and migratory habitat for waterfowl, upland birds, and species of greatest conservation need ~ </w:t>
      </w:r>
      <w:r>
        <w:rPr>
          <w:i/>
        </w:rPr>
        <w:t>200 acres restored and 150 acres enhanced to support species of greatest conservation need including the Loggerhead shrike, Rusty patched bumble bee and Regal fritillary; Track the presence and abundance of native grasses, forbs, shrubs, and oak trees. Each project site will collect baseline data which will be used to document the project outcomes, that will be used to develop management recommendations. Each project site will increase native plant cover to at least 70%; .57 metric tons of carbon sequestere</w:t>
      </w:r>
      <w:r>
        <w:rPr>
          <w:i/>
        </w:rPr>
        <w:t>d per acre per year, improved water management, and program team mentoring of at least three professionals in the region.</w:t>
      </w:r>
    </w:p>
    <w:p w14:paraId="1340D9B4" w14:textId="77777777" w:rsidR="00845E52" w:rsidRDefault="000E5577">
      <w:pPr>
        <w:pStyle w:val="Heading3"/>
        <w:spacing w:before="60" w:after="80"/>
      </w:pPr>
      <w:r>
        <w:rPr>
          <w:color w:val="254885"/>
          <w:sz w:val="26"/>
        </w:rPr>
        <w:t xml:space="preserve">Programs in metropolitan urbanizing region: </w:t>
      </w:r>
    </w:p>
    <w:p w14:paraId="39EC8F5B" w14:textId="77777777" w:rsidR="00845E52" w:rsidRDefault="000E5577">
      <w:pPr>
        <w:ind w:left="360"/>
      </w:pPr>
      <w:r>
        <w:t xml:space="preserve">Core areas protected with highly biologically diverse wetlands and plant communities, including native prairie, Big Woods, and oak savanna ~ </w:t>
      </w:r>
      <w:r>
        <w:rPr>
          <w:i/>
        </w:rPr>
        <w:t>200 acres restored and 100 acres enhanced to support species of greatest conservation need including the Rusty-patched bumble bee and Monarch butterflies; Track the presence and abundance of native grasses, forbs, shrubs, and oak trees. Each project site will collect baseline data which will be used to document the project outcomes, that will be used to develop management recommendations. Each project site will increase native plant cover to at least 70%; .57 metric tons of carbon sequestered per acre per y</w:t>
      </w:r>
      <w:r>
        <w:rPr>
          <w:i/>
        </w:rPr>
        <w:t>ear, improved water management, and program team mentoring of at least three professionals in the region.</w:t>
      </w:r>
    </w:p>
    <w:p w14:paraId="43445C0B" w14:textId="77777777" w:rsidR="00845E52" w:rsidRDefault="000E5577">
      <w:pPr>
        <w:pStyle w:val="Heading3"/>
        <w:spacing w:before="60" w:after="80"/>
      </w:pPr>
      <w:r>
        <w:rPr>
          <w:color w:val="254885"/>
          <w:sz w:val="26"/>
        </w:rPr>
        <w:t xml:space="preserve">Programs in prairie region: </w:t>
      </w:r>
    </w:p>
    <w:p w14:paraId="308BDE80" w14:textId="77777777" w:rsidR="00845E52" w:rsidRDefault="000E5577">
      <w:pPr>
        <w:ind w:left="360"/>
      </w:pPr>
      <w:r>
        <w:t xml:space="preserve">Protected, restored, and enhanced habitat for migratory and unique Minnesota species ~ </w:t>
      </w:r>
      <w:r>
        <w:rPr>
          <w:i/>
        </w:rPr>
        <w:t>100 acres restored and 50 acres enhanced to support species of greatest conservation need including Regal Fritillary and Monarch Butterfly; Track the presence and abundance of native grasses, forbs, shrubs, and oak trees. Each project site will collect baseline data which will be used to document the project outcomes, that will be used to develop management recommendations. Each project site will increase native plant cover to at least 70%; .57 metric tons of carbon sequestered per acre per year, improved w</w:t>
      </w:r>
      <w:r>
        <w:rPr>
          <w:i/>
        </w:rPr>
        <w:t>ater management, and program team mentoring of at least three professionals in the region.</w:t>
      </w:r>
    </w:p>
    <w:p w14:paraId="00E39970" w14:textId="77777777" w:rsidR="00845E52" w:rsidRDefault="000E5577">
      <w:pPr>
        <w:pStyle w:val="Heading3"/>
        <w:spacing w:before="60" w:after="80"/>
      </w:pPr>
      <w:r>
        <w:rPr>
          <w:color w:val="254885"/>
          <w:sz w:val="26"/>
        </w:rPr>
        <w:t xml:space="preserve">Programs in southeast forest region: </w:t>
      </w:r>
    </w:p>
    <w:p w14:paraId="3682155C" w14:textId="77777777" w:rsidR="00845E52" w:rsidRDefault="000E5577">
      <w:pPr>
        <w:ind w:left="360"/>
      </w:pPr>
      <w:r>
        <w:t xml:space="preserve">Healthier populations of endangered, threatened, and special concern species as well as more common species ~ </w:t>
      </w:r>
      <w:r>
        <w:rPr>
          <w:i/>
        </w:rPr>
        <w:t>100 acres restored and 100 acres enhanced to support species of greatest conservation need including Red-headed woodpeckers, Regal fritillary butterflies, and Karner blue butterflies; Track the presence and abundance of native grasses, forbs, shrubs, and oak trees. Each project site will collect baseline data which will be used to document the project outcomes, that will be used to develop management recommendations. Each project site will increase native plant cover to at least 70%; .57 metric tons of carb</w:t>
      </w:r>
      <w:r>
        <w:rPr>
          <w:i/>
        </w:rPr>
        <w:t>on sequestered per acre per year, improved water management, and program team mentoring of at least three professionals in the region;</w:t>
      </w:r>
    </w:p>
    <w:p w14:paraId="377A42B0" w14:textId="77777777" w:rsidR="00845E52" w:rsidRDefault="000E5577">
      <w:pPr>
        <w:pStyle w:val="Heading3"/>
        <w:spacing w:before="60" w:after="80"/>
      </w:pPr>
      <w:r>
        <w:rPr>
          <w:color w:val="254885"/>
          <w:sz w:val="26"/>
        </w:rPr>
        <w:t xml:space="preserve">What other dedicated funds may collaborate with or contribute to this proposal? </w:t>
      </w:r>
    </w:p>
    <w:p w14:paraId="685D3E30" w14:textId="77777777" w:rsidR="00845E52" w:rsidRDefault="000E5577">
      <w:pPr>
        <w:ind w:left="360"/>
      </w:pPr>
      <w:r>
        <w:t>Environment and Natural Resource Trust Fund</w:t>
      </w:r>
    </w:p>
    <w:p w14:paraId="5C27B8FD" w14:textId="77777777" w:rsidR="00845E52" w:rsidRDefault="000E5577">
      <w:pPr>
        <w:pStyle w:val="Heading3"/>
        <w:spacing w:before="60" w:after="80"/>
      </w:pPr>
      <w:r>
        <w:rPr>
          <w:color w:val="254885"/>
          <w:sz w:val="26"/>
        </w:rPr>
        <w:lastRenderedPageBreak/>
        <w:t xml:space="preserve">Per MS 97A.056, Subd. 24, Please explain whether the request is supplanting or is a substitution for any previous funding that was not from a legacy fund and was used for the same purpose. </w:t>
      </w:r>
    </w:p>
    <w:p w14:paraId="7AF09DEB" w14:textId="77777777" w:rsidR="00845E52" w:rsidRDefault="000E5577">
      <w:r>
        <w:t>This will be a new program that doesn't have existing funding for program implementation and program oversight for funding recipients. LSOHC funds are not being used to supplant other sources of funds traditionally used to pay for proposed activities and staff salary.</w:t>
      </w:r>
    </w:p>
    <w:p w14:paraId="7BE742AB" w14:textId="77777777" w:rsidR="00845E52" w:rsidRDefault="000E5577">
      <w:pPr>
        <w:pStyle w:val="Heading3"/>
        <w:spacing w:before="60" w:after="80"/>
      </w:pPr>
      <w:r>
        <w:rPr>
          <w:color w:val="254885"/>
          <w:sz w:val="26"/>
        </w:rPr>
        <w:t xml:space="preserve">How will you sustain and/or maintain this work after the Outdoor Heritage Funds are expended? </w:t>
      </w:r>
    </w:p>
    <w:p w14:paraId="71F59586" w14:textId="77777777" w:rsidR="00845E52" w:rsidRDefault="000E5577">
      <w:r>
        <w:t>This proposal enhances existing investments in long-term conservation as part of a solution to the decline of at-risk species and other important wildlife species. Ensuring the long-term care of projects will be a key ranking criteria used as part of the competitive project selection process, this will include considerations about future funding availability for management. All program participants will be required to enter into an agreement with BWSR that requires the projects to be maintained for 10 years</w:t>
      </w:r>
      <w:r>
        <w:t>. The project templates developed for all projects will also provide direction for the long-term management and monitoring. The role of landowners to maintain projects into the future will be stressed and local conservation staff will continue working with landowners to provide technical guidance. Program participants will be required to work with BWSR and/or Xerces Society on the development of the project specific conservation plan that will be signed by the landowner. This will include seed mix design, r</w:t>
      </w:r>
      <w:r>
        <w:t>econstruction or restoration techniques, and long-term management recommendations. Once the new BWSR program is established BWSR in partnership with Xerces Society and the Living Landscape Initiative Advisory Committee will pursue other funding sources for the program such as federal grants and foundation funding.</w:t>
      </w:r>
    </w:p>
    <w:p w14:paraId="75763C2C" w14:textId="77777777" w:rsidR="00845E52" w:rsidRDefault="000E5577">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3EF65FC" w14:textId="77777777" w:rsidR="00845E52" w:rsidRDefault="000E5577">
      <w:r>
        <w:t>Because BWSR's Oak Savanna Restoration for Living Landscapes program is focused on public lands, it can meaningfully celebrate cultural diversity and serve Minnesota’s diverse communities, including low- and moderate-income households. Public lands are open and accessible to all, offering free entry and inclusive spaces where people from all backgrounds can engage with nature. By restoring oak savannas in parks, wildlife areas, and other public spaces, the program ensures that communities—particularly those</w:t>
      </w:r>
      <w:r>
        <w:t xml:space="preserve"> with limited access to private green space—can enjoy high-quality natural areas close to home. These restored landscapes will provide opportunities for outdoor recreation, quiet reflection, and connection to Minnesota’s ecological and cultural heritage.</w:t>
      </w:r>
      <w:r>
        <w:br/>
      </w:r>
      <w:r>
        <w:br/>
        <w:t>Moreover, the program will lay the foundation for a wide range of future educational opportunities. Schools, community groups, and youth organizations will be able to use these sites as living classrooms for hands-on learning about ecology, conservation, c</w:t>
      </w:r>
      <w:r>
        <w:t>limate adaptation, and Indigenous land stewardship. Interpretive signage, nature trails, guided programs, and citizen science projects can all be integrated into these areas, making them year-round resources for environmental education. To make the knowledge and education of the sites accessible to folks whose primary language is not English, local government units such as soil and water conservation districts will make project site information (such as project site signage) available in multiple languages.</w:t>
      </w:r>
      <w:r>
        <w:t xml:space="preserve"> By collaborating with educators, Tribal nations, local government units, and local organizations, the program can offer culturally relevant programming that resonates with diverse audiences. In this way, oak savanna restoration becomes not just a conservation effort, but a long-term public investment in inclusive environmental learning, community wellbeing, and shared stewardship of Minnesota’s natural heritage.</w:t>
      </w:r>
    </w:p>
    <w:p w14:paraId="22285415" w14:textId="77777777" w:rsidR="00845E52" w:rsidRDefault="000E5577">
      <w:pPr>
        <w:pStyle w:val="Heading2"/>
        <w:spacing w:before="0" w:after="80"/>
        <w:jc w:val="center"/>
      </w:pPr>
      <w:r>
        <w:rPr>
          <w:color w:val="2C559C"/>
          <w:sz w:val="28"/>
          <w:u w:val="single"/>
        </w:rPr>
        <w:lastRenderedPageBreak/>
        <w:t>Activity Details</w:t>
      </w:r>
    </w:p>
    <w:p w14:paraId="002E73D0" w14:textId="77777777" w:rsidR="00845E52" w:rsidRDefault="000E5577">
      <w:pPr>
        <w:pStyle w:val="Heading3"/>
        <w:spacing w:before="60" w:after="80"/>
      </w:pPr>
      <w:r>
        <w:rPr>
          <w:color w:val="254885"/>
          <w:sz w:val="26"/>
        </w:rPr>
        <w:t>Requirements</w:t>
      </w:r>
    </w:p>
    <w:p w14:paraId="111D9F4C" w14:textId="77777777" w:rsidR="00845E52" w:rsidRDefault="000E5577">
      <w:r>
        <w:rPr>
          <w:b/>
        </w:rPr>
        <w:t xml:space="preserve">Will restoration and enhancement work follow best management practices including MS 84.973 Pollinator Habitat Program?  </w:t>
      </w:r>
      <w:r>
        <w:rPr>
          <w:b/>
        </w:rPr>
        <w:br/>
      </w:r>
      <w:r>
        <w:t>Yes</w:t>
      </w:r>
    </w:p>
    <w:p w14:paraId="3874EAF2" w14:textId="77777777" w:rsidR="00845E52" w:rsidRDefault="000E5577">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786620EE" w14:textId="77777777" w:rsidR="00845E52" w:rsidRDefault="000E5577">
      <w:pPr>
        <w:ind w:left="720"/>
      </w:pPr>
      <w:r>
        <w:rPr>
          <w:b/>
        </w:rPr>
        <w:t>Where does the activity take place?</w:t>
      </w:r>
    </w:p>
    <w:p w14:paraId="010A46C5" w14:textId="77777777" w:rsidR="00845E52" w:rsidRDefault="000E5577">
      <w:pPr>
        <w:ind w:left="1080"/>
      </w:pPr>
      <w:r>
        <w:t>County/Municipal</w:t>
      </w:r>
    </w:p>
    <w:p w14:paraId="0249B43C" w14:textId="77777777" w:rsidR="00845E52" w:rsidRDefault="000E5577">
      <w:pPr>
        <w:ind w:left="1080"/>
      </w:pPr>
      <w:r>
        <w:t>Other : Tribal lands</w:t>
      </w:r>
    </w:p>
    <w:p w14:paraId="60940BE8" w14:textId="77777777" w:rsidR="00845E52" w:rsidRDefault="000E5577">
      <w:pPr>
        <w:pStyle w:val="Heading3"/>
        <w:spacing w:before="60" w:after="80"/>
      </w:pPr>
      <w:r>
        <w:rPr>
          <w:color w:val="254885"/>
          <w:sz w:val="26"/>
        </w:rPr>
        <w:t>Land Use</w:t>
      </w:r>
    </w:p>
    <w:p w14:paraId="2A99ABC5" w14:textId="77777777" w:rsidR="00845E52" w:rsidRDefault="000E5577">
      <w:r>
        <w:rPr>
          <w:b/>
        </w:rPr>
        <w:t xml:space="preserve">Will there be planting of any crop on OHF land purchased or restored in this program, </w:t>
      </w:r>
      <w:r>
        <w:rPr>
          <w:b/>
        </w:rPr>
        <w:t>either by the proposer or the end owner of the property, outside of the initial restoration of the land?</w:t>
      </w:r>
      <w:r>
        <w:rPr>
          <w:b/>
        </w:rPr>
        <w:br/>
      </w:r>
      <w:r>
        <w:t>No</w:t>
      </w:r>
    </w:p>
    <w:p w14:paraId="645F5FAF" w14:textId="77777777" w:rsidR="00845E52" w:rsidRDefault="000E5577">
      <w:r>
        <w:rPr>
          <w:b/>
        </w:rPr>
        <w:t>Will insecticides or fungicides (including neonicotinoid and fungicide treated seed) be used within any activities of this proposal either in the process of restoration or use as food plots?</w:t>
      </w:r>
      <w:r>
        <w:rPr>
          <w:b/>
        </w:rPr>
        <w:br/>
      </w:r>
      <w:r>
        <w:t>No</w:t>
      </w:r>
    </w:p>
    <w:p w14:paraId="39E6A27A" w14:textId="77777777" w:rsidR="00845E52" w:rsidRDefault="000E5577">
      <w:pPr>
        <w:pStyle w:val="Heading3"/>
        <w:spacing w:before="60" w:after="80"/>
      </w:pPr>
      <w:r>
        <w:rPr>
          <w:color w:val="254885"/>
          <w:sz w:val="26"/>
        </w:rPr>
        <w:t>Other OHF Appropriation Awards</w:t>
      </w:r>
    </w:p>
    <w:p w14:paraId="5FF3FD5B" w14:textId="77777777" w:rsidR="00845E52" w:rsidRDefault="000E5577">
      <w:pPr>
        <w:pStyle w:val="BodyText"/>
      </w:pPr>
      <w:r>
        <w:rPr>
          <w:b/>
        </w:rPr>
        <w:t>Have you received OHF dollars through LSOHC in the past?</w:t>
      </w:r>
      <w:r>
        <w:rPr>
          <w:b/>
        </w:rPr>
        <w:br/>
      </w:r>
      <w:r>
        <w:t>No</w:t>
      </w:r>
    </w:p>
    <w:p w14:paraId="2E4B8080" w14:textId="77777777" w:rsidR="00845E52" w:rsidRDefault="000E5577">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845E52" w14:paraId="7CA72112" w14:textId="77777777">
        <w:tc>
          <w:tcPr>
            <w:tcW w:w="5400" w:type="dxa"/>
            <w:shd w:val="clear" w:color="auto" w:fill="AFC4E9"/>
          </w:tcPr>
          <w:p w14:paraId="218D6C51" w14:textId="77777777" w:rsidR="00845E52" w:rsidRDefault="000E5577">
            <w:r>
              <w:rPr>
                <w:b/>
                <w:color w:val="000000"/>
                <w:sz w:val="20"/>
              </w:rPr>
              <w:t>Activity Name</w:t>
            </w:r>
          </w:p>
        </w:tc>
        <w:tc>
          <w:tcPr>
            <w:tcW w:w="5400" w:type="dxa"/>
            <w:shd w:val="clear" w:color="auto" w:fill="AFC4E9"/>
          </w:tcPr>
          <w:p w14:paraId="498133A5" w14:textId="77777777" w:rsidR="00845E52" w:rsidRDefault="000E5577">
            <w:r>
              <w:rPr>
                <w:b/>
                <w:color w:val="000000"/>
                <w:sz w:val="20"/>
              </w:rPr>
              <w:t>Estimated Completion Date</w:t>
            </w:r>
          </w:p>
        </w:tc>
      </w:tr>
      <w:tr w:rsidR="00845E52" w14:paraId="5A451247" w14:textId="77777777">
        <w:tc>
          <w:tcPr>
            <w:tcW w:w="5400" w:type="dxa"/>
          </w:tcPr>
          <w:p w14:paraId="32ACB177" w14:textId="77777777" w:rsidR="00845E52" w:rsidRDefault="000E5577">
            <w:r>
              <w:rPr>
                <w:sz w:val="20"/>
              </w:rPr>
              <w:t>Restore and enhance 1000 acres of oak savanna and supporting tallgrass prairies and hardwood forests in the Eastern Broadleaf Province by entering into agreements with eligible program participants</w:t>
            </w:r>
          </w:p>
        </w:tc>
        <w:tc>
          <w:tcPr>
            <w:tcW w:w="5400" w:type="dxa"/>
          </w:tcPr>
          <w:p w14:paraId="2620FADF" w14:textId="77777777" w:rsidR="00845E52" w:rsidRDefault="000E5577">
            <w:r>
              <w:rPr>
                <w:sz w:val="20"/>
              </w:rPr>
              <w:t>June 30, 2031</w:t>
            </w:r>
          </w:p>
        </w:tc>
      </w:tr>
      <w:tr w:rsidR="00845E52" w14:paraId="57DFE17D" w14:textId="77777777">
        <w:tc>
          <w:tcPr>
            <w:tcW w:w="5400" w:type="dxa"/>
          </w:tcPr>
          <w:p w14:paraId="26DB22C2" w14:textId="77777777" w:rsidR="00845E52" w:rsidRDefault="000E5577">
            <w:r>
              <w:rPr>
                <w:sz w:val="20"/>
              </w:rPr>
              <w:t>Create interagency program advisory team to guide program development, ranking criteria, and project support.</w:t>
            </w:r>
          </w:p>
        </w:tc>
        <w:tc>
          <w:tcPr>
            <w:tcW w:w="5400" w:type="dxa"/>
          </w:tcPr>
          <w:p w14:paraId="3FD134B5" w14:textId="77777777" w:rsidR="00845E52" w:rsidRDefault="000E5577">
            <w:r>
              <w:rPr>
                <w:sz w:val="20"/>
              </w:rPr>
              <w:t>August 31, 2027</w:t>
            </w:r>
          </w:p>
        </w:tc>
      </w:tr>
      <w:tr w:rsidR="00845E52" w14:paraId="62739A1C" w14:textId="77777777">
        <w:tc>
          <w:tcPr>
            <w:tcW w:w="5400" w:type="dxa"/>
          </w:tcPr>
          <w:p w14:paraId="42DA5B2A" w14:textId="77777777" w:rsidR="00845E52" w:rsidRDefault="000E5577">
            <w:r>
              <w:rPr>
                <w:sz w:val="20"/>
              </w:rPr>
              <w:t>Collaborate with Xerces to develop new and innovative conservation guides, plan templates, and project case studies.</w:t>
            </w:r>
          </w:p>
        </w:tc>
        <w:tc>
          <w:tcPr>
            <w:tcW w:w="5400" w:type="dxa"/>
          </w:tcPr>
          <w:p w14:paraId="4DE84388" w14:textId="77777777" w:rsidR="00845E52" w:rsidRDefault="000E5577">
            <w:r>
              <w:rPr>
                <w:sz w:val="20"/>
              </w:rPr>
              <w:t>June 30, 2031</w:t>
            </w:r>
          </w:p>
        </w:tc>
      </w:tr>
      <w:tr w:rsidR="00845E52" w14:paraId="64EA341F" w14:textId="77777777">
        <w:tc>
          <w:tcPr>
            <w:tcW w:w="5400" w:type="dxa"/>
          </w:tcPr>
          <w:p w14:paraId="07EC1EFC" w14:textId="77777777" w:rsidR="00845E52" w:rsidRDefault="000E5577">
            <w:r>
              <w:rPr>
                <w:sz w:val="20"/>
              </w:rPr>
              <w:t xml:space="preserve">Develop pollinator-beneficial conservation plans and long-term monitoring strategies for oak savanna </w:t>
            </w:r>
            <w:r>
              <w:rPr>
                <w:sz w:val="20"/>
              </w:rPr>
              <w:t>restorations.</w:t>
            </w:r>
          </w:p>
        </w:tc>
        <w:tc>
          <w:tcPr>
            <w:tcW w:w="5400" w:type="dxa"/>
          </w:tcPr>
          <w:p w14:paraId="086D51DD" w14:textId="77777777" w:rsidR="00845E52" w:rsidRDefault="000E5577">
            <w:r>
              <w:rPr>
                <w:sz w:val="20"/>
              </w:rPr>
              <w:t>June 30, 2031</w:t>
            </w:r>
          </w:p>
        </w:tc>
      </w:tr>
      <w:tr w:rsidR="00845E52" w14:paraId="5A2D509D" w14:textId="77777777">
        <w:tc>
          <w:tcPr>
            <w:tcW w:w="5400" w:type="dxa"/>
          </w:tcPr>
          <w:p w14:paraId="07DE62E1" w14:textId="77777777" w:rsidR="00845E52" w:rsidRDefault="000E5577">
            <w:r>
              <w:rPr>
                <w:sz w:val="20"/>
              </w:rPr>
              <w:t>Document successful planning, design, installation and management strategies and case studies on BWSR's webpage.</w:t>
            </w:r>
          </w:p>
        </w:tc>
        <w:tc>
          <w:tcPr>
            <w:tcW w:w="5400" w:type="dxa"/>
          </w:tcPr>
          <w:p w14:paraId="79840E80" w14:textId="77777777" w:rsidR="00845E52" w:rsidRDefault="000E5577">
            <w:r>
              <w:rPr>
                <w:sz w:val="20"/>
              </w:rPr>
              <w:t>June 30, 2031</w:t>
            </w:r>
          </w:p>
        </w:tc>
      </w:tr>
      <w:tr w:rsidR="00845E52" w14:paraId="700AD722" w14:textId="77777777">
        <w:tc>
          <w:tcPr>
            <w:tcW w:w="5400" w:type="dxa"/>
          </w:tcPr>
          <w:p w14:paraId="177A8AA7" w14:textId="77777777" w:rsidR="00845E52" w:rsidRDefault="000E5577">
            <w:r>
              <w:rPr>
                <w:sz w:val="20"/>
              </w:rPr>
              <w:t>Add program signage to all project sites.</w:t>
            </w:r>
          </w:p>
        </w:tc>
        <w:tc>
          <w:tcPr>
            <w:tcW w:w="5400" w:type="dxa"/>
          </w:tcPr>
          <w:p w14:paraId="5325E68F" w14:textId="77777777" w:rsidR="00845E52" w:rsidRDefault="000E5577">
            <w:r>
              <w:rPr>
                <w:sz w:val="20"/>
              </w:rPr>
              <w:t>June 30, 2031</w:t>
            </w:r>
          </w:p>
        </w:tc>
      </w:tr>
    </w:tbl>
    <w:p w14:paraId="6AEC35B9" w14:textId="77777777" w:rsidR="00845E52" w:rsidRDefault="000E5577">
      <w:r>
        <w:br w:type="page"/>
      </w:r>
    </w:p>
    <w:p w14:paraId="02D5FC83" w14:textId="77777777" w:rsidR="00845E52" w:rsidRDefault="000E5577">
      <w:pPr>
        <w:pStyle w:val="Heading2"/>
        <w:spacing w:before="0" w:after="80"/>
        <w:jc w:val="center"/>
      </w:pPr>
      <w:r>
        <w:rPr>
          <w:color w:val="2C559C"/>
          <w:sz w:val="28"/>
          <w:u w:val="single"/>
        </w:rPr>
        <w:lastRenderedPageBreak/>
        <w:t>Budget</w:t>
      </w:r>
    </w:p>
    <w:p w14:paraId="6644DC45" w14:textId="77777777" w:rsidR="00845E52" w:rsidRDefault="000E5577">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845E52" w14:paraId="46F20F4D" w14:textId="77777777">
        <w:tc>
          <w:tcPr>
            <w:tcW w:w="2160" w:type="dxa"/>
            <w:shd w:val="clear" w:color="auto" w:fill="AFC4E9"/>
          </w:tcPr>
          <w:p w14:paraId="7AC32320" w14:textId="77777777" w:rsidR="00845E52" w:rsidRDefault="000E5577">
            <w:r>
              <w:rPr>
                <w:b/>
                <w:color w:val="000000"/>
                <w:sz w:val="20"/>
              </w:rPr>
              <w:t>Item</w:t>
            </w:r>
          </w:p>
        </w:tc>
        <w:tc>
          <w:tcPr>
            <w:tcW w:w="2160" w:type="dxa"/>
            <w:shd w:val="clear" w:color="auto" w:fill="AFC4E9"/>
          </w:tcPr>
          <w:p w14:paraId="2B276E39" w14:textId="77777777" w:rsidR="00845E52" w:rsidRDefault="000E5577">
            <w:r>
              <w:rPr>
                <w:b/>
                <w:color w:val="000000"/>
                <w:sz w:val="20"/>
              </w:rPr>
              <w:t>Funding Request</w:t>
            </w:r>
          </w:p>
        </w:tc>
        <w:tc>
          <w:tcPr>
            <w:tcW w:w="2160" w:type="dxa"/>
            <w:shd w:val="clear" w:color="auto" w:fill="AFC4E9"/>
          </w:tcPr>
          <w:p w14:paraId="22BC5441" w14:textId="77777777" w:rsidR="00845E52" w:rsidRDefault="000E5577">
            <w:r>
              <w:rPr>
                <w:b/>
                <w:color w:val="000000"/>
                <w:sz w:val="20"/>
              </w:rPr>
              <w:t>Total Leverage</w:t>
            </w:r>
          </w:p>
        </w:tc>
        <w:tc>
          <w:tcPr>
            <w:tcW w:w="2160" w:type="dxa"/>
            <w:shd w:val="clear" w:color="auto" w:fill="AFC4E9"/>
          </w:tcPr>
          <w:p w14:paraId="2DF90965" w14:textId="77777777" w:rsidR="00845E52" w:rsidRDefault="000E5577">
            <w:r>
              <w:rPr>
                <w:b/>
                <w:color w:val="000000"/>
                <w:sz w:val="20"/>
              </w:rPr>
              <w:t>Leverage Source</w:t>
            </w:r>
          </w:p>
        </w:tc>
        <w:tc>
          <w:tcPr>
            <w:tcW w:w="2160" w:type="dxa"/>
            <w:shd w:val="clear" w:color="auto" w:fill="AFC4E9"/>
          </w:tcPr>
          <w:p w14:paraId="45EA41FB" w14:textId="77777777" w:rsidR="00845E52" w:rsidRDefault="000E5577">
            <w:r>
              <w:rPr>
                <w:b/>
                <w:color w:val="000000"/>
                <w:sz w:val="20"/>
              </w:rPr>
              <w:t>Total</w:t>
            </w:r>
          </w:p>
        </w:tc>
      </w:tr>
      <w:tr w:rsidR="00845E52" w14:paraId="2EBE931A" w14:textId="77777777">
        <w:tc>
          <w:tcPr>
            <w:tcW w:w="2160" w:type="dxa"/>
          </w:tcPr>
          <w:p w14:paraId="4F41E400" w14:textId="77777777" w:rsidR="00845E52" w:rsidRDefault="000E5577">
            <w:r>
              <w:rPr>
                <w:sz w:val="20"/>
              </w:rPr>
              <w:t>Personnel</w:t>
            </w:r>
          </w:p>
        </w:tc>
        <w:tc>
          <w:tcPr>
            <w:tcW w:w="2160" w:type="dxa"/>
          </w:tcPr>
          <w:p w14:paraId="2DD4A479" w14:textId="77777777" w:rsidR="00845E52" w:rsidRDefault="000E5577">
            <w:pPr>
              <w:jc w:val="right"/>
            </w:pPr>
            <w:r>
              <w:rPr>
                <w:sz w:val="20"/>
              </w:rPr>
              <w:t>$300,000</w:t>
            </w:r>
          </w:p>
        </w:tc>
        <w:tc>
          <w:tcPr>
            <w:tcW w:w="2160" w:type="dxa"/>
          </w:tcPr>
          <w:p w14:paraId="51B692F1" w14:textId="77777777" w:rsidR="00845E52" w:rsidRDefault="000E5577">
            <w:pPr>
              <w:jc w:val="right"/>
            </w:pPr>
            <w:r>
              <w:rPr>
                <w:sz w:val="20"/>
              </w:rPr>
              <w:t>$62,400</w:t>
            </w:r>
          </w:p>
        </w:tc>
        <w:tc>
          <w:tcPr>
            <w:tcW w:w="2160" w:type="dxa"/>
          </w:tcPr>
          <w:p w14:paraId="64301159" w14:textId="77777777" w:rsidR="00845E52" w:rsidRDefault="000E5577">
            <w:r>
              <w:rPr>
                <w:sz w:val="20"/>
              </w:rPr>
              <w:t>General fund appropriation to BWSR</w:t>
            </w:r>
          </w:p>
        </w:tc>
        <w:tc>
          <w:tcPr>
            <w:tcW w:w="2160" w:type="dxa"/>
          </w:tcPr>
          <w:p w14:paraId="23166F75" w14:textId="77777777" w:rsidR="00845E52" w:rsidRDefault="000E5577">
            <w:pPr>
              <w:jc w:val="right"/>
            </w:pPr>
            <w:r>
              <w:rPr>
                <w:sz w:val="20"/>
              </w:rPr>
              <w:t>$362,400</w:t>
            </w:r>
          </w:p>
        </w:tc>
      </w:tr>
      <w:tr w:rsidR="00845E52" w14:paraId="3CC08104" w14:textId="77777777">
        <w:tc>
          <w:tcPr>
            <w:tcW w:w="2160" w:type="dxa"/>
          </w:tcPr>
          <w:p w14:paraId="601E1DBE" w14:textId="77777777" w:rsidR="00845E52" w:rsidRDefault="000E5577">
            <w:r>
              <w:rPr>
                <w:sz w:val="20"/>
              </w:rPr>
              <w:t>Contracts</w:t>
            </w:r>
          </w:p>
        </w:tc>
        <w:tc>
          <w:tcPr>
            <w:tcW w:w="2160" w:type="dxa"/>
          </w:tcPr>
          <w:p w14:paraId="7E67DEEE" w14:textId="77777777" w:rsidR="00845E52" w:rsidRDefault="000E5577">
            <w:pPr>
              <w:jc w:val="right"/>
            </w:pPr>
            <w:r>
              <w:rPr>
                <w:sz w:val="20"/>
              </w:rPr>
              <w:t>$3,000,000</w:t>
            </w:r>
          </w:p>
        </w:tc>
        <w:tc>
          <w:tcPr>
            <w:tcW w:w="2160" w:type="dxa"/>
          </w:tcPr>
          <w:p w14:paraId="71E059A7" w14:textId="77777777" w:rsidR="00845E52" w:rsidRDefault="000E5577">
            <w:pPr>
              <w:jc w:val="right"/>
            </w:pPr>
            <w:r>
              <w:rPr>
                <w:sz w:val="20"/>
              </w:rPr>
              <w:t>$750,000</w:t>
            </w:r>
          </w:p>
        </w:tc>
        <w:tc>
          <w:tcPr>
            <w:tcW w:w="2160" w:type="dxa"/>
          </w:tcPr>
          <w:p w14:paraId="46DC4BFC" w14:textId="77777777" w:rsidR="00845E52" w:rsidRDefault="000E5577">
            <w:r>
              <w:rPr>
                <w:sz w:val="20"/>
              </w:rPr>
              <w:t>Landowner Match</w:t>
            </w:r>
          </w:p>
        </w:tc>
        <w:tc>
          <w:tcPr>
            <w:tcW w:w="2160" w:type="dxa"/>
          </w:tcPr>
          <w:p w14:paraId="0C5BE72E" w14:textId="77777777" w:rsidR="00845E52" w:rsidRDefault="000E5577">
            <w:pPr>
              <w:jc w:val="right"/>
            </w:pPr>
            <w:r>
              <w:rPr>
                <w:sz w:val="20"/>
              </w:rPr>
              <w:t>$3,750,000</w:t>
            </w:r>
          </w:p>
        </w:tc>
      </w:tr>
      <w:tr w:rsidR="00845E52" w14:paraId="6A165D4A" w14:textId="77777777">
        <w:tc>
          <w:tcPr>
            <w:tcW w:w="2160" w:type="dxa"/>
          </w:tcPr>
          <w:p w14:paraId="40223DDC" w14:textId="77777777" w:rsidR="00845E52" w:rsidRDefault="000E5577">
            <w:r>
              <w:rPr>
                <w:sz w:val="20"/>
              </w:rPr>
              <w:t>Fee Acquisition w/ PILT</w:t>
            </w:r>
          </w:p>
        </w:tc>
        <w:tc>
          <w:tcPr>
            <w:tcW w:w="2160" w:type="dxa"/>
          </w:tcPr>
          <w:p w14:paraId="7CABFEBB" w14:textId="77777777" w:rsidR="00845E52" w:rsidRDefault="000E5577">
            <w:pPr>
              <w:jc w:val="right"/>
            </w:pPr>
            <w:r>
              <w:rPr>
                <w:sz w:val="20"/>
              </w:rPr>
              <w:t>-</w:t>
            </w:r>
          </w:p>
        </w:tc>
        <w:tc>
          <w:tcPr>
            <w:tcW w:w="2160" w:type="dxa"/>
          </w:tcPr>
          <w:p w14:paraId="6D5835A8" w14:textId="77777777" w:rsidR="00845E52" w:rsidRDefault="000E5577">
            <w:pPr>
              <w:jc w:val="right"/>
            </w:pPr>
            <w:r>
              <w:rPr>
                <w:sz w:val="20"/>
              </w:rPr>
              <w:t>-</w:t>
            </w:r>
          </w:p>
        </w:tc>
        <w:tc>
          <w:tcPr>
            <w:tcW w:w="2160" w:type="dxa"/>
          </w:tcPr>
          <w:p w14:paraId="6C0F5342" w14:textId="77777777" w:rsidR="00845E52" w:rsidRDefault="000E5577">
            <w:r>
              <w:rPr>
                <w:sz w:val="20"/>
              </w:rPr>
              <w:t>-</w:t>
            </w:r>
          </w:p>
        </w:tc>
        <w:tc>
          <w:tcPr>
            <w:tcW w:w="2160" w:type="dxa"/>
          </w:tcPr>
          <w:p w14:paraId="22F9F41A" w14:textId="77777777" w:rsidR="00845E52" w:rsidRDefault="000E5577">
            <w:pPr>
              <w:jc w:val="right"/>
            </w:pPr>
            <w:r>
              <w:rPr>
                <w:sz w:val="20"/>
              </w:rPr>
              <w:t>-</w:t>
            </w:r>
          </w:p>
        </w:tc>
      </w:tr>
      <w:tr w:rsidR="00845E52" w14:paraId="066B4E39" w14:textId="77777777">
        <w:tc>
          <w:tcPr>
            <w:tcW w:w="2160" w:type="dxa"/>
          </w:tcPr>
          <w:p w14:paraId="7705C389" w14:textId="77777777" w:rsidR="00845E52" w:rsidRDefault="000E5577">
            <w:r>
              <w:rPr>
                <w:sz w:val="20"/>
              </w:rPr>
              <w:t>Fee Acquisition w/o PILT</w:t>
            </w:r>
          </w:p>
        </w:tc>
        <w:tc>
          <w:tcPr>
            <w:tcW w:w="2160" w:type="dxa"/>
          </w:tcPr>
          <w:p w14:paraId="332B4EF0" w14:textId="77777777" w:rsidR="00845E52" w:rsidRDefault="000E5577">
            <w:pPr>
              <w:jc w:val="right"/>
            </w:pPr>
            <w:r>
              <w:rPr>
                <w:sz w:val="20"/>
              </w:rPr>
              <w:t>-</w:t>
            </w:r>
          </w:p>
        </w:tc>
        <w:tc>
          <w:tcPr>
            <w:tcW w:w="2160" w:type="dxa"/>
          </w:tcPr>
          <w:p w14:paraId="1F8023E2" w14:textId="77777777" w:rsidR="00845E52" w:rsidRDefault="000E5577">
            <w:pPr>
              <w:jc w:val="right"/>
            </w:pPr>
            <w:r>
              <w:rPr>
                <w:sz w:val="20"/>
              </w:rPr>
              <w:t>-</w:t>
            </w:r>
          </w:p>
        </w:tc>
        <w:tc>
          <w:tcPr>
            <w:tcW w:w="2160" w:type="dxa"/>
          </w:tcPr>
          <w:p w14:paraId="11ED4EA6" w14:textId="77777777" w:rsidR="00845E52" w:rsidRDefault="000E5577">
            <w:r>
              <w:rPr>
                <w:sz w:val="20"/>
              </w:rPr>
              <w:t>-</w:t>
            </w:r>
          </w:p>
        </w:tc>
        <w:tc>
          <w:tcPr>
            <w:tcW w:w="2160" w:type="dxa"/>
          </w:tcPr>
          <w:p w14:paraId="57EEFCF6" w14:textId="77777777" w:rsidR="00845E52" w:rsidRDefault="000E5577">
            <w:pPr>
              <w:jc w:val="right"/>
            </w:pPr>
            <w:r>
              <w:rPr>
                <w:sz w:val="20"/>
              </w:rPr>
              <w:t>-</w:t>
            </w:r>
          </w:p>
        </w:tc>
      </w:tr>
      <w:tr w:rsidR="00845E52" w14:paraId="465AFF20" w14:textId="77777777">
        <w:tc>
          <w:tcPr>
            <w:tcW w:w="2160" w:type="dxa"/>
          </w:tcPr>
          <w:p w14:paraId="5DA4A6EA" w14:textId="77777777" w:rsidR="00845E52" w:rsidRDefault="000E5577">
            <w:r>
              <w:rPr>
                <w:sz w:val="20"/>
              </w:rPr>
              <w:t xml:space="preserve">Easement </w:t>
            </w:r>
            <w:r>
              <w:rPr>
                <w:sz w:val="20"/>
              </w:rPr>
              <w:t>Acquisition</w:t>
            </w:r>
          </w:p>
        </w:tc>
        <w:tc>
          <w:tcPr>
            <w:tcW w:w="2160" w:type="dxa"/>
          </w:tcPr>
          <w:p w14:paraId="10A4406B" w14:textId="77777777" w:rsidR="00845E52" w:rsidRDefault="000E5577">
            <w:pPr>
              <w:jc w:val="right"/>
            </w:pPr>
            <w:r>
              <w:rPr>
                <w:sz w:val="20"/>
              </w:rPr>
              <w:t>-</w:t>
            </w:r>
          </w:p>
        </w:tc>
        <w:tc>
          <w:tcPr>
            <w:tcW w:w="2160" w:type="dxa"/>
          </w:tcPr>
          <w:p w14:paraId="08480172" w14:textId="77777777" w:rsidR="00845E52" w:rsidRDefault="000E5577">
            <w:pPr>
              <w:jc w:val="right"/>
            </w:pPr>
            <w:r>
              <w:rPr>
                <w:sz w:val="20"/>
              </w:rPr>
              <w:t>-</w:t>
            </w:r>
          </w:p>
        </w:tc>
        <w:tc>
          <w:tcPr>
            <w:tcW w:w="2160" w:type="dxa"/>
          </w:tcPr>
          <w:p w14:paraId="4D6C2B36" w14:textId="77777777" w:rsidR="00845E52" w:rsidRDefault="000E5577">
            <w:r>
              <w:rPr>
                <w:sz w:val="20"/>
              </w:rPr>
              <w:t>-</w:t>
            </w:r>
          </w:p>
        </w:tc>
        <w:tc>
          <w:tcPr>
            <w:tcW w:w="2160" w:type="dxa"/>
          </w:tcPr>
          <w:p w14:paraId="49C28451" w14:textId="77777777" w:rsidR="00845E52" w:rsidRDefault="000E5577">
            <w:pPr>
              <w:jc w:val="right"/>
            </w:pPr>
            <w:r>
              <w:rPr>
                <w:sz w:val="20"/>
              </w:rPr>
              <w:t>-</w:t>
            </w:r>
          </w:p>
        </w:tc>
      </w:tr>
      <w:tr w:rsidR="00845E52" w14:paraId="690EB475" w14:textId="77777777">
        <w:tc>
          <w:tcPr>
            <w:tcW w:w="2160" w:type="dxa"/>
          </w:tcPr>
          <w:p w14:paraId="2BFA5774" w14:textId="77777777" w:rsidR="00845E52" w:rsidRDefault="000E5577">
            <w:r>
              <w:rPr>
                <w:sz w:val="20"/>
              </w:rPr>
              <w:t>Easement Stewardship</w:t>
            </w:r>
          </w:p>
        </w:tc>
        <w:tc>
          <w:tcPr>
            <w:tcW w:w="2160" w:type="dxa"/>
          </w:tcPr>
          <w:p w14:paraId="3DF9B50A" w14:textId="77777777" w:rsidR="00845E52" w:rsidRDefault="000E5577">
            <w:pPr>
              <w:jc w:val="right"/>
            </w:pPr>
            <w:r>
              <w:rPr>
                <w:sz w:val="20"/>
              </w:rPr>
              <w:t>-</w:t>
            </w:r>
          </w:p>
        </w:tc>
        <w:tc>
          <w:tcPr>
            <w:tcW w:w="2160" w:type="dxa"/>
          </w:tcPr>
          <w:p w14:paraId="2FA30771" w14:textId="77777777" w:rsidR="00845E52" w:rsidRDefault="000E5577">
            <w:pPr>
              <w:jc w:val="right"/>
            </w:pPr>
            <w:r>
              <w:rPr>
                <w:sz w:val="20"/>
              </w:rPr>
              <w:t>-</w:t>
            </w:r>
          </w:p>
        </w:tc>
        <w:tc>
          <w:tcPr>
            <w:tcW w:w="2160" w:type="dxa"/>
          </w:tcPr>
          <w:p w14:paraId="1C61467B" w14:textId="77777777" w:rsidR="00845E52" w:rsidRDefault="000E5577">
            <w:r>
              <w:rPr>
                <w:sz w:val="20"/>
              </w:rPr>
              <w:t>-</w:t>
            </w:r>
          </w:p>
        </w:tc>
        <w:tc>
          <w:tcPr>
            <w:tcW w:w="2160" w:type="dxa"/>
          </w:tcPr>
          <w:p w14:paraId="5AD99AA6" w14:textId="77777777" w:rsidR="00845E52" w:rsidRDefault="000E5577">
            <w:pPr>
              <w:jc w:val="right"/>
            </w:pPr>
            <w:r>
              <w:rPr>
                <w:sz w:val="20"/>
              </w:rPr>
              <w:t>-</w:t>
            </w:r>
          </w:p>
        </w:tc>
      </w:tr>
      <w:tr w:rsidR="00845E52" w14:paraId="23583901" w14:textId="77777777">
        <w:tc>
          <w:tcPr>
            <w:tcW w:w="2160" w:type="dxa"/>
          </w:tcPr>
          <w:p w14:paraId="742DEAC1" w14:textId="77777777" w:rsidR="00845E52" w:rsidRDefault="000E5577">
            <w:r>
              <w:rPr>
                <w:sz w:val="20"/>
              </w:rPr>
              <w:t>Travel</w:t>
            </w:r>
          </w:p>
        </w:tc>
        <w:tc>
          <w:tcPr>
            <w:tcW w:w="2160" w:type="dxa"/>
          </w:tcPr>
          <w:p w14:paraId="2093F0CA" w14:textId="77777777" w:rsidR="00845E52" w:rsidRDefault="000E5577">
            <w:pPr>
              <w:jc w:val="right"/>
            </w:pPr>
            <w:r>
              <w:rPr>
                <w:sz w:val="20"/>
              </w:rPr>
              <w:t>$6,000</w:t>
            </w:r>
          </w:p>
        </w:tc>
        <w:tc>
          <w:tcPr>
            <w:tcW w:w="2160" w:type="dxa"/>
          </w:tcPr>
          <w:p w14:paraId="668946D4" w14:textId="77777777" w:rsidR="00845E52" w:rsidRDefault="000E5577">
            <w:pPr>
              <w:jc w:val="right"/>
            </w:pPr>
            <w:r>
              <w:rPr>
                <w:sz w:val="20"/>
              </w:rPr>
              <w:t>-</w:t>
            </w:r>
          </w:p>
        </w:tc>
        <w:tc>
          <w:tcPr>
            <w:tcW w:w="2160" w:type="dxa"/>
          </w:tcPr>
          <w:p w14:paraId="3B6F1DDD" w14:textId="77777777" w:rsidR="00845E52" w:rsidRDefault="000E5577">
            <w:r>
              <w:rPr>
                <w:sz w:val="20"/>
              </w:rPr>
              <w:t>-</w:t>
            </w:r>
          </w:p>
        </w:tc>
        <w:tc>
          <w:tcPr>
            <w:tcW w:w="2160" w:type="dxa"/>
          </w:tcPr>
          <w:p w14:paraId="30D981E0" w14:textId="77777777" w:rsidR="00845E52" w:rsidRDefault="000E5577">
            <w:pPr>
              <w:jc w:val="right"/>
            </w:pPr>
            <w:r>
              <w:rPr>
                <w:sz w:val="20"/>
              </w:rPr>
              <w:t>$6,000</w:t>
            </w:r>
          </w:p>
        </w:tc>
      </w:tr>
      <w:tr w:rsidR="00845E52" w14:paraId="193D6644" w14:textId="77777777">
        <w:tc>
          <w:tcPr>
            <w:tcW w:w="2160" w:type="dxa"/>
          </w:tcPr>
          <w:p w14:paraId="0A8FB1E9" w14:textId="77777777" w:rsidR="00845E52" w:rsidRDefault="000E5577">
            <w:r>
              <w:rPr>
                <w:sz w:val="20"/>
              </w:rPr>
              <w:t>Professional Services</w:t>
            </w:r>
          </w:p>
        </w:tc>
        <w:tc>
          <w:tcPr>
            <w:tcW w:w="2160" w:type="dxa"/>
          </w:tcPr>
          <w:p w14:paraId="45A8E341" w14:textId="77777777" w:rsidR="00845E52" w:rsidRDefault="000E5577">
            <w:pPr>
              <w:jc w:val="right"/>
            </w:pPr>
            <w:r>
              <w:rPr>
                <w:sz w:val="20"/>
              </w:rPr>
              <w:t>$250,000</w:t>
            </w:r>
          </w:p>
        </w:tc>
        <w:tc>
          <w:tcPr>
            <w:tcW w:w="2160" w:type="dxa"/>
          </w:tcPr>
          <w:p w14:paraId="7B230382" w14:textId="77777777" w:rsidR="00845E52" w:rsidRDefault="000E5577">
            <w:pPr>
              <w:jc w:val="right"/>
            </w:pPr>
            <w:r>
              <w:rPr>
                <w:sz w:val="20"/>
              </w:rPr>
              <w:t>$53,300</w:t>
            </w:r>
          </w:p>
        </w:tc>
        <w:tc>
          <w:tcPr>
            <w:tcW w:w="2160" w:type="dxa"/>
          </w:tcPr>
          <w:p w14:paraId="094A9CB3" w14:textId="77777777" w:rsidR="00845E52" w:rsidRDefault="000E5577">
            <w:r>
              <w:rPr>
                <w:sz w:val="20"/>
              </w:rPr>
              <w:t>Xerces Society</w:t>
            </w:r>
          </w:p>
        </w:tc>
        <w:tc>
          <w:tcPr>
            <w:tcW w:w="2160" w:type="dxa"/>
          </w:tcPr>
          <w:p w14:paraId="0E6A25EB" w14:textId="77777777" w:rsidR="00845E52" w:rsidRDefault="000E5577">
            <w:pPr>
              <w:jc w:val="right"/>
            </w:pPr>
            <w:r>
              <w:rPr>
                <w:sz w:val="20"/>
              </w:rPr>
              <w:t>$303,300</w:t>
            </w:r>
          </w:p>
        </w:tc>
      </w:tr>
      <w:tr w:rsidR="00845E52" w14:paraId="757865A5" w14:textId="77777777">
        <w:tc>
          <w:tcPr>
            <w:tcW w:w="2160" w:type="dxa"/>
          </w:tcPr>
          <w:p w14:paraId="6388F387" w14:textId="77777777" w:rsidR="00845E52" w:rsidRDefault="000E5577">
            <w:r>
              <w:rPr>
                <w:sz w:val="20"/>
              </w:rPr>
              <w:t>Direct Support Services</w:t>
            </w:r>
          </w:p>
        </w:tc>
        <w:tc>
          <w:tcPr>
            <w:tcW w:w="2160" w:type="dxa"/>
          </w:tcPr>
          <w:p w14:paraId="17F35E0F" w14:textId="77777777" w:rsidR="00845E52" w:rsidRDefault="000E5577">
            <w:pPr>
              <w:jc w:val="right"/>
            </w:pPr>
            <w:r>
              <w:rPr>
                <w:sz w:val="20"/>
              </w:rPr>
              <w:t>$66,000</w:t>
            </w:r>
          </w:p>
        </w:tc>
        <w:tc>
          <w:tcPr>
            <w:tcW w:w="2160" w:type="dxa"/>
          </w:tcPr>
          <w:p w14:paraId="6E6C1B05" w14:textId="77777777" w:rsidR="00845E52" w:rsidRDefault="000E5577">
            <w:pPr>
              <w:jc w:val="right"/>
            </w:pPr>
            <w:r>
              <w:rPr>
                <w:sz w:val="20"/>
              </w:rPr>
              <w:t>-</w:t>
            </w:r>
          </w:p>
        </w:tc>
        <w:tc>
          <w:tcPr>
            <w:tcW w:w="2160" w:type="dxa"/>
          </w:tcPr>
          <w:p w14:paraId="44558A26" w14:textId="77777777" w:rsidR="00845E52" w:rsidRDefault="000E5577">
            <w:r>
              <w:rPr>
                <w:sz w:val="20"/>
              </w:rPr>
              <w:t>-</w:t>
            </w:r>
          </w:p>
        </w:tc>
        <w:tc>
          <w:tcPr>
            <w:tcW w:w="2160" w:type="dxa"/>
          </w:tcPr>
          <w:p w14:paraId="20A1AD0C" w14:textId="77777777" w:rsidR="00845E52" w:rsidRDefault="000E5577">
            <w:pPr>
              <w:jc w:val="right"/>
            </w:pPr>
            <w:r>
              <w:rPr>
                <w:sz w:val="20"/>
              </w:rPr>
              <w:t>$66,000</w:t>
            </w:r>
          </w:p>
        </w:tc>
      </w:tr>
      <w:tr w:rsidR="00845E52" w14:paraId="596CC6ED" w14:textId="77777777">
        <w:tc>
          <w:tcPr>
            <w:tcW w:w="2160" w:type="dxa"/>
          </w:tcPr>
          <w:p w14:paraId="26E0654D" w14:textId="77777777" w:rsidR="00845E52" w:rsidRDefault="000E5577">
            <w:r>
              <w:rPr>
                <w:sz w:val="20"/>
              </w:rPr>
              <w:t>DNR Land Acquisition Costs</w:t>
            </w:r>
          </w:p>
        </w:tc>
        <w:tc>
          <w:tcPr>
            <w:tcW w:w="2160" w:type="dxa"/>
          </w:tcPr>
          <w:p w14:paraId="099B0647" w14:textId="77777777" w:rsidR="00845E52" w:rsidRDefault="000E5577">
            <w:pPr>
              <w:jc w:val="right"/>
            </w:pPr>
            <w:r>
              <w:rPr>
                <w:sz w:val="20"/>
              </w:rPr>
              <w:t>-</w:t>
            </w:r>
          </w:p>
        </w:tc>
        <w:tc>
          <w:tcPr>
            <w:tcW w:w="2160" w:type="dxa"/>
          </w:tcPr>
          <w:p w14:paraId="1B4C9A53" w14:textId="77777777" w:rsidR="00845E52" w:rsidRDefault="000E5577">
            <w:pPr>
              <w:jc w:val="right"/>
            </w:pPr>
            <w:r>
              <w:rPr>
                <w:sz w:val="20"/>
              </w:rPr>
              <w:t>-</w:t>
            </w:r>
          </w:p>
        </w:tc>
        <w:tc>
          <w:tcPr>
            <w:tcW w:w="2160" w:type="dxa"/>
          </w:tcPr>
          <w:p w14:paraId="64C93565" w14:textId="77777777" w:rsidR="00845E52" w:rsidRDefault="000E5577">
            <w:r>
              <w:rPr>
                <w:sz w:val="20"/>
              </w:rPr>
              <w:t>-</w:t>
            </w:r>
          </w:p>
        </w:tc>
        <w:tc>
          <w:tcPr>
            <w:tcW w:w="2160" w:type="dxa"/>
          </w:tcPr>
          <w:p w14:paraId="16125C54" w14:textId="77777777" w:rsidR="00845E52" w:rsidRDefault="000E5577">
            <w:pPr>
              <w:jc w:val="right"/>
            </w:pPr>
            <w:r>
              <w:rPr>
                <w:sz w:val="20"/>
              </w:rPr>
              <w:t>-</w:t>
            </w:r>
          </w:p>
        </w:tc>
      </w:tr>
      <w:tr w:rsidR="00845E52" w14:paraId="5896D0F5" w14:textId="77777777">
        <w:tc>
          <w:tcPr>
            <w:tcW w:w="2160" w:type="dxa"/>
          </w:tcPr>
          <w:p w14:paraId="3D1845B8" w14:textId="77777777" w:rsidR="00845E52" w:rsidRDefault="000E5577">
            <w:r>
              <w:rPr>
                <w:sz w:val="20"/>
              </w:rPr>
              <w:t>Capital Equipment</w:t>
            </w:r>
          </w:p>
        </w:tc>
        <w:tc>
          <w:tcPr>
            <w:tcW w:w="2160" w:type="dxa"/>
          </w:tcPr>
          <w:p w14:paraId="67377297" w14:textId="77777777" w:rsidR="00845E52" w:rsidRDefault="000E5577">
            <w:pPr>
              <w:jc w:val="right"/>
            </w:pPr>
            <w:r>
              <w:rPr>
                <w:sz w:val="20"/>
              </w:rPr>
              <w:t>-</w:t>
            </w:r>
          </w:p>
        </w:tc>
        <w:tc>
          <w:tcPr>
            <w:tcW w:w="2160" w:type="dxa"/>
          </w:tcPr>
          <w:p w14:paraId="55340763" w14:textId="77777777" w:rsidR="00845E52" w:rsidRDefault="000E5577">
            <w:pPr>
              <w:jc w:val="right"/>
            </w:pPr>
            <w:r>
              <w:rPr>
                <w:sz w:val="20"/>
              </w:rPr>
              <w:t>-</w:t>
            </w:r>
          </w:p>
        </w:tc>
        <w:tc>
          <w:tcPr>
            <w:tcW w:w="2160" w:type="dxa"/>
          </w:tcPr>
          <w:p w14:paraId="480C3675" w14:textId="77777777" w:rsidR="00845E52" w:rsidRDefault="000E5577">
            <w:r>
              <w:rPr>
                <w:sz w:val="20"/>
              </w:rPr>
              <w:t>-</w:t>
            </w:r>
          </w:p>
        </w:tc>
        <w:tc>
          <w:tcPr>
            <w:tcW w:w="2160" w:type="dxa"/>
          </w:tcPr>
          <w:p w14:paraId="17920A03" w14:textId="77777777" w:rsidR="00845E52" w:rsidRDefault="000E5577">
            <w:pPr>
              <w:jc w:val="right"/>
            </w:pPr>
            <w:r>
              <w:rPr>
                <w:sz w:val="20"/>
              </w:rPr>
              <w:t>-</w:t>
            </w:r>
          </w:p>
        </w:tc>
      </w:tr>
      <w:tr w:rsidR="00845E52" w14:paraId="6DEB7FDA" w14:textId="77777777">
        <w:tc>
          <w:tcPr>
            <w:tcW w:w="2160" w:type="dxa"/>
          </w:tcPr>
          <w:p w14:paraId="2CDB25DD" w14:textId="77777777" w:rsidR="00845E52" w:rsidRDefault="000E5577">
            <w:r>
              <w:rPr>
                <w:sz w:val="20"/>
              </w:rPr>
              <w:t>Other Equipment/Tools</w:t>
            </w:r>
          </w:p>
        </w:tc>
        <w:tc>
          <w:tcPr>
            <w:tcW w:w="2160" w:type="dxa"/>
          </w:tcPr>
          <w:p w14:paraId="6E486779" w14:textId="77777777" w:rsidR="00845E52" w:rsidRDefault="000E5577">
            <w:pPr>
              <w:jc w:val="right"/>
            </w:pPr>
            <w:r>
              <w:rPr>
                <w:sz w:val="20"/>
              </w:rPr>
              <w:t>-</w:t>
            </w:r>
          </w:p>
        </w:tc>
        <w:tc>
          <w:tcPr>
            <w:tcW w:w="2160" w:type="dxa"/>
          </w:tcPr>
          <w:p w14:paraId="6AB68524" w14:textId="77777777" w:rsidR="00845E52" w:rsidRDefault="000E5577">
            <w:pPr>
              <w:jc w:val="right"/>
            </w:pPr>
            <w:r>
              <w:rPr>
                <w:sz w:val="20"/>
              </w:rPr>
              <w:t>-</w:t>
            </w:r>
          </w:p>
        </w:tc>
        <w:tc>
          <w:tcPr>
            <w:tcW w:w="2160" w:type="dxa"/>
          </w:tcPr>
          <w:p w14:paraId="771E9D67" w14:textId="77777777" w:rsidR="00845E52" w:rsidRDefault="000E5577">
            <w:r>
              <w:rPr>
                <w:sz w:val="20"/>
              </w:rPr>
              <w:t>-</w:t>
            </w:r>
          </w:p>
        </w:tc>
        <w:tc>
          <w:tcPr>
            <w:tcW w:w="2160" w:type="dxa"/>
          </w:tcPr>
          <w:p w14:paraId="6C8964C3" w14:textId="77777777" w:rsidR="00845E52" w:rsidRDefault="000E5577">
            <w:pPr>
              <w:jc w:val="right"/>
            </w:pPr>
            <w:r>
              <w:rPr>
                <w:sz w:val="20"/>
              </w:rPr>
              <w:t>-</w:t>
            </w:r>
          </w:p>
        </w:tc>
      </w:tr>
      <w:tr w:rsidR="00845E52" w14:paraId="0938CD5C" w14:textId="77777777">
        <w:tc>
          <w:tcPr>
            <w:tcW w:w="2160" w:type="dxa"/>
          </w:tcPr>
          <w:p w14:paraId="7E94C780" w14:textId="77777777" w:rsidR="00845E52" w:rsidRDefault="000E5577">
            <w:r>
              <w:rPr>
                <w:sz w:val="20"/>
              </w:rPr>
              <w:t>Supplies/Materials</w:t>
            </w:r>
          </w:p>
        </w:tc>
        <w:tc>
          <w:tcPr>
            <w:tcW w:w="2160" w:type="dxa"/>
          </w:tcPr>
          <w:p w14:paraId="2CB67CB3" w14:textId="77777777" w:rsidR="00845E52" w:rsidRDefault="000E5577">
            <w:pPr>
              <w:jc w:val="right"/>
            </w:pPr>
            <w:r>
              <w:rPr>
                <w:sz w:val="20"/>
              </w:rPr>
              <w:t>$1,200</w:t>
            </w:r>
          </w:p>
        </w:tc>
        <w:tc>
          <w:tcPr>
            <w:tcW w:w="2160" w:type="dxa"/>
          </w:tcPr>
          <w:p w14:paraId="6FDABAF6" w14:textId="77777777" w:rsidR="00845E52" w:rsidRDefault="000E5577">
            <w:pPr>
              <w:jc w:val="right"/>
            </w:pPr>
            <w:r>
              <w:rPr>
                <w:sz w:val="20"/>
              </w:rPr>
              <w:t>-</w:t>
            </w:r>
          </w:p>
        </w:tc>
        <w:tc>
          <w:tcPr>
            <w:tcW w:w="2160" w:type="dxa"/>
          </w:tcPr>
          <w:p w14:paraId="35436AB3" w14:textId="77777777" w:rsidR="00845E52" w:rsidRDefault="000E5577">
            <w:r>
              <w:rPr>
                <w:sz w:val="20"/>
              </w:rPr>
              <w:t>-</w:t>
            </w:r>
          </w:p>
        </w:tc>
        <w:tc>
          <w:tcPr>
            <w:tcW w:w="2160" w:type="dxa"/>
          </w:tcPr>
          <w:p w14:paraId="76612E44" w14:textId="77777777" w:rsidR="00845E52" w:rsidRDefault="000E5577">
            <w:pPr>
              <w:jc w:val="right"/>
            </w:pPr>
            <w:r>
              <w:rPr>
                <w:sz w:val="20"/>
              </w:rPr>
              <w:t>$1,200</w:t>
            </w:r>
          </w:p>
        </w:tc>
      </w:tr>
      <w:tr w:rsidR="00845E52" w14:paraId="4467E23B" w14:textId="77777777">
        <w:tc>
          <w:tcPr>
            <w:tcW w:w="2160" w:type="dxa"/>
          </w:tcPr>
          <w:p w14:paraId="632AF034" w14:textId="77777777" w:rsidR="00845E52" w:rsidRDefault="000E5577">
            <w:r>
              <w:rPr>
                <w:sz w:val="20"/>
              </w:rPr>
              <w:t>DNR IDP</w:t>
            </w:r>
          </w:p>
        </w:tc>
        <w:tc>
          <w:tcPr>
            <w:tcW w:w="2160" w:type="dxa"/>
          </w:tcPr>
          <w:p w14:paraId="014DD40F" w14:textId="77777777" w:rsidR="00845E52" w:rsidRDefault="000E5577">
            <w:pPr>
              <w:jc w:val="right"/>
            </w:pPr>
            <w:r>
              <w:rPr>
                <w:sz w:val="20"/>
              </w:rPr>
              <w:t>-</w:t>
            </w:r>
          </w:p>
        </w:tc>
        <w:tc>
          <w:tcPr>
            <w:tcW w:w="2160" w:type="dxa"/>
          </w:tcPr>
          <w:p w14:paraId="21CCFCC6" w14:textId="77777777" w:rsidR="00845E52" w:rsidRDefault="000E5577">
            <w:pPr>
              <w:jc w:val="right"/>
            </w:pPr>
            <w:r>
              <w:rPr>
                <w:sz w:val="20"/>
              </w:rPr>
              <w:t>-</w:t>
            </w:r>
          </w:p>
        </w:tc>
        <w:tc>
          <w:tcPr>
            <w:tcW w:w="2160" w:type="dxa"/>
          </w:tcPr>
          <w:p w14:paraId="5009E9AF" w14:textId="77777777" w:rsidR="00845E52" w:rsidRDefault="000E5577">
            <w:r>
              <w:rPr>
                <w:sz w:val="20"/>
              </w:rPr>
              <w:t>-</w:t>
            </w:r>
          </w:p>
        </w:tc>
        <w:tc>
          <w:tcPr>
            <w:tcW w:w="2160" w:type="dxa"/>
          </w:tcPr>
          <w:p w14:paraId="2756B4EE" w14:textId="77777777" w:rsidR="00845E52" w:rsidRDefault="000E5577">
            <w:pPr>
              <w:jc w:val="right"/>
            </w:pPr>
            <w:r>
              <w:rPr>
                <w:sz w:val="20"/>
              </w:rPr>
              <w:t>-</w:t>
            </w:r>
          </w:p>
        </w:tc>
      </w:tr>
      <w:tr w:rsidR="00845E52" w14:paraId="61277B41" w14:textId="77777777">
        <w:tc>
          <w:tcPr>
            <w:tcW w:w="2160" w:type="dxa"/>
            <w:shd w:val="clear" w:color="auto" w:fill="EEEEEE"/>
          </w:tcPr>
          <w:p w14:paraId="605ECE1E" w14:textId="77777777" w:rsidR="00845E52" w:rsidRDefault="000E5577">
            <w:r>
              <w:rPr>
                <w:b/>
                <w:color w:val="000000"/>
                <w:sz w:val="20"/>
              </w:rPr>
              <w:t>Grand Total</w:t>
            </w:r>
          </w:p>
        </w:tc>
        <w:tc>
          <w:tcPr>
            <w:tcW w:w="2160" w:type="dxa"/>
            <w:shd w:val="clear" w:color="auto" w:fill="EEEEEE"/>
          </w:tcPr>
          <w:p w14:paraId="30164930" w14:textId="77777777" w:rsidR="00845E52" w:rsidRDefault="000E5577">
            <w:pPr>
              <w:jc w:val="right"/>
            </w:pPr>
            <w:r>
              <w:rPr>
                <w:b/>
                <w:color w:val="000000"/>
                <w:sz w:val="20"/>
              </w:rPr>
              <w:t>$3,623,200</w:t>
            </w:r>
          </w:p>
        </w:tc>
        <w:tc>
          <w:tcPr>
            <w:tcW w:w="2160" w:type="dxa"/>
            <w:shd w:val="clear" w:color="auto" w:fill="EEEEEE"/>
          </w:tcPr>
          <w:p w14:paraId="62028CAE" w14:textId="77777777" w:rsidR="00845E52" w:rsidRDefault="000E5577">
            <w:pPr>
              <w:jc w:val="right"/>
            </w:pPr>
            <w:r>
              <w:rPr>
                <w:b/>
                <w:color w:val="000000"/>
                <w:sz w:val="20"/>
              </w:rPr>
              <w:t>$865,700</w:t>
            </w:r>
          </w:p>
        </w:tc>
        <w:tc>
          <w:tcPr>
            <w:tcW w:w="2160" w:type="dxa"/>
            <w:shd w:val="clear" w:color="auto" w:fill="EEEEEE"/>
          </w:tcPr>
          <w:p w14:paraId="16DBCBAD" w14:textId="77777777" w:rsidR="00845E52" w:rsidRDefault="000E5577">
            <w:r>
              <w:rPr>
                <w:b/>
                <w:color w:val="000000"/>
                <w:sz w:val="20"/>
              </w:rPr>
              <w:t>-</w:t>
            </w:r>
          </w:p>
        </w:tc>
        <w:tc>
          <w:tcPr>
            <w:tcW w:w="2160" w:type="dxa"/>
            <w:shd w:val="clear" w:color="auto" w:fill="EEEEEE"/>
          </w:tcPr>
          <w:p w14:paraId="092164DF" w14:textId="77777777" w:rsidR="00845E52" w:rsidRDefault="000E5577">
            <w:pPr>
              <w:jc w:val="right"/>
            </w:pPr>
            <w:r>
              <w:rPr>
                <w:b/>
                <w:color w:val="000000"/>
                <w:sz w:val="20"/>
              </w:rPr>
              <w:t>$4,488,900</w:t>
            </w:r>
          </w:p>
        </w:tc>
      </w:tr>
    </w:tbl>
    <w:p w14:paraId="42B047F3" w14:textId="77777777" w:rsidR="00845E52" w:rsidRDefault="000E5577">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1"/>
        <w:gridCol w:w="1543"/>
        <w:gridCol w:w="1541"/>
      </w:tblGrid>
      <w:tr w:rsidR="00845E52" w14:paraId="429E7400" w14:textId="77777777">
        <w:tc>
          <w:tcPr>
            <w:tcW w:w="1543" w:type="dxa"/>
            <w:shd w:val="clear" w:color="auto" w:fill="AFC4E9"/>
          </w:tcPr>
          <w:p w14:paraId="7FC51F39" w14:textId="77777777" w:rsidR="00845E52" w:rsidRDefault="000E5577">
            <w:r>
              <w:rPr>
                <w:b/>
                <w:color w:val="000000"/>
                <w:sz w:val="20"/>
              </w:rPr>
              <w:t>Position</w:t>
            </w:r>
          </w:p>
        </w:tc>
        <w:tc>
          <w:tcPr>
            <w:tcW w:w="1543" w:type="dxa"/>
            <w:shd w:val="clear" w:color="auto" w:fill="AFC4E9"/>
          </w:tcPr>
          <w:p w14:paraId="484BC7C4" w14:textId="77777777" w:rsidR="00845E52" w:rsidRDefault="000E5577">
            <w:r>
              <w:rPr>
                <w:b/>
                <w:color w:val="000000"/>
                <w:sz w:val="20"/>
              </w:rPr>
              <w:t>Annual FTE</w:t>
            </w:r>
          </w:p>
        </w:tc>
        <w:tc>
          <w:tcPr>
            <w:tcW w:w="1543" w:type="dxa"/>
            <w:shd w:val="clear" w:color="auto" w:fill="AFC4E9"/>
          </w:tcPr>
          <w:p w14:paraId="1E3B8000" w14:textId="77777777" w:rsidR="00845E52" w:rsidRDefault="000E5577">
            <w:r>
              <w:rPr>
                <w:b/>
                <w:color w:val="000000"/>
                <w:sz w:val="20"/>
              </w:rPr>
              <w:t>Years Working</w:t>
            </w:r>
          </w:p>
        </w:tc>
        <w:tc>
          <w:tcPr>
            <w:tcW w:w="1543" w:type="dxa"/>
            <w:shd w:val="clear" w:color="auto" w:fill="AFC4E9"/>
          </w:tcPr>
          <w:p w14:paraId="6BAA32A6" w14:textId="77777777" w:rsidR="00845E52" w:rsidRDefault="000E5577">
            <w:r>
              <w:rPr>
                <w:b/>
                <w:color w:val="000000"/>
                <w:sz w:val="20"/>
              </w:rPr>
              <w:t>Funding Request</w:t>
            </w:r>
          </w:p>
        </w:tc>
        <w:tc>
          <w:tcPr>
            <w:tcW w:w="1543" w:type="dxa"/>
            <w:shd w:val="clear" w:color="auto" w:fill="AFC4E9"/>
          </w:tcPr>
          <w:p w14:paraId="7B660269" w14:textId="77777777" w:rsidR="00845E52" w:rsidRDefault="000E5577">
            <w:r>
              <w:rPr>
                <w:b/>
                <w:color w:val="000000"/>
                <w:sz w:val="20"/>
              </w:rPr>
              <w:t>Total Leverage</w:t>
            </w:r>
          </w:p>
        </w:tc>
        <w:tc>
          <w:tcPr>
            <w:tcW w:w="1543" w:type="dxa"/>
            <w:shd w:val="clear" w:color="auto" w:fill="AFC4E9"/>
          </w:tcPr>
          <w:p w14:paraId="13777CF2" w14:textId="77777777" w:rsidR="00845E52" w:rsidRDefault="000E5577">
            <w:r>
              <w:rPr>
                <w:b/>
                <w:color w:val="000000"/>
                <w:sz w:val="20"/>
              </w:rPr>
              <w:t>Leverage Source</w:t>
            </w:r>
          </w:p>
        </w:tc>
        <w:tc>
          <w:tcPr>
            <w:tcW w:w="1543" w:type="dxa"/>
            <w:shd w:val="clear" w:color="auto" w:fill="AFC4E9"/>
          </w:tcPr>
          <w:p w14:paraId="6A00FAB2" w14:textId="77777777" w:rsidR="00845E52" w:rsidRDefault="000E5577">
            <w:r>
              <w:rPr>
                <w:b/>
                <w:color w:val="000000"/>
                <w:sz w:val="20"/>
              </w:rPr>
              <w:t>Total</w:t>
            </w:r>
          </w:p>
        </w:tc>
      </w:tr>
      <w:tr w:rsidR="00845E52" w14:paraId="3F53B55B" w14:textId="77777777">
        <w:tc>
          <w:tcPr>
            <w:tcW w:w="1543" w:type="dxa"/>
          </w:tcPr>
          <w:p w14:paraId="53D50F12" w14:textId="77777777" w:rsidR="00845E52" w:rsidRDefault="000E5577">
            <w:r>
              <w:rPr>
                <w:sz w:val="20"/>
              </w:rPr>
              <w:t xml:space="preserve">Program </w:t>
            </w:r>
            <w:r>
              <w:rPr>
                <w:sz w:val="20"/>
              </w:rPr>
              <w:t>Coordinator</w:t>
            </w:r>
          </w:p>
        </w:tc>
        <w:tc>
          <w:tcPr>
            <w:tcW w:w="1543" w:type="dxa"/>
          </w:tcPr>
          <w:p w14:paraId="2FB01509" w14:textId="77777777" w:rsidR="00845E52" w:rsidRDefault="000E5577">
            <w:pPr>
              <w:jc w:val="right"/>
            </w:pPr>
            <w:r>
              <w:rPr>
                <w:sz w:val="20"/>
              </w:rPr>
              <w:t>0.4</w:t>
            </w:r>
          </w:p>
        </w:tc>
        <w:tc>
          <w:tcPr>
            <w:tcW w:w="1543" w:type="dxa"/>
          </w:tcPr>
          <w:p w14:paraId="1123B88A" w14:textId="77777777" w:rsidR="00845E52" w:rsidRDefault="000E5577">
            <w:pPr>
              <w:jc w:val="right"/>
            </w:pPr>
            <w:r>
              <w:rPr>
                <w:sz w:val="20"/>
              </w:rPr>
              <w:t>5.0</w:t>
            </w:r>
          </w:p>
        </w:tc>
        <w:tc>
          <w:tcPr>
            <w:tcW w:w="1543" w:type="dxa"/>
          </w:tcPr>
          <w:p w14:paraId="226B3770" w14:textId="77777777" w:rsidR="00845E52" w:rsidRDefault="000E5577">
            <w:pPr>
              <w:jc w:val="right"/>
            </w:pPr>
            <w:r>
              <w:rPr>
                <w:sz w:val="20"/>
              </w:rPr>
              <w:t>$300,000</w:t>
            </w:r>
          </w:p>
        </w:tc>
        <w:tc>
          <w:tcPr>
            <w:tcW w:w="1543" w:type="dxa"/>
          </w:tcPr>
          <w:p w14:paraId="063A8B19" w14:textId="77777777" w:rsidR="00845E52" w:rsidRDefault="000E5577">
            <w:pPr>
              <w:jc w:val="right"/>
            </w:pPr>
            <w:r>
              <w:rPr>
                <w:sz w:val="20"/>
              </w:rPr>
              <w:t>$62,400</w:t>
            </w:r>
          </w:p>
        </w:tc>
        <w:tc>
          <w:tcPr>
            <w:tcW w:w="1543" w:type="dxa"/>
          </w:tcPr>
          <w:p w14:paraId="0EF6F588" w14:textId="77777777" w:rsidR="00845E52" w:rsidRDefault="000E5577">
            <w:r>
              <w:rPr>
                <w:sz w:val="20"/>
              </w:rPr>
              <w:t>General fund appropriation to BWSR</w:t>
            </w:r>
          </w:p>
        </w:tc>
        <w:tc>
          <w:tcPr>
            <w:tcW w:w="1543" w:type="dxa"/>
          </w:tcPr>
          <w:p w14:paraId="333625C5" w14:textId="77777777" w:rsidR="00845E52" w:rsidRDefault="000E5577">
            <w:pPr>
              <w:jc w:val="right"/>
            </w:pPr>
            <w:r>
              <w:rPr>
                <w:sz w:val="20"/>
              </w:rPr>
              <w:t>$362,400</w:t>
            </w:r>
          </w:p>
        </w:tc>
      </w:tr>
    </w:tbl>
    <w:p w14:paraId="09614625" w14:textId="77777777" w:rsidR="00845E52" w:rsidRDefault="00845E52"/>
    <w:p w14:paraId="73CCA3FF" w14:textId="77777777" w:rsidR="00845E52" w:rsidRDefault="000E5577">
      <w:r>
        <w:rPr>
          <w:b/>
        </w:rPr>
        <w:t xml:space="preserve">Amount of Request: </w:t>
      </w:r>
      <w:r>
        <w:t>$3,623,200</w:t>
      </w:r>
      <w:r>
        <w:rPr>
          <w:b/>
        </w:rPr>
        <w:br/>
        <w:t xml:space="preserve">Amount of Leverage: </w:t>
      </w:r>
      <w:r>
        <w:t>$865,700</w:t>
      </w:r>
      <w:r>
        <w:rPr>
          <w:b/>
        </w:rPr>
        <w:br/>
        <w:t xml:space="preserve">Leverage as a percent of the Request: </w:t>
      </w:r>
      <w:r>
        <w:t>23.89%</w:t>
      </w:r>
      <w:r>
        <w:rPr>
          <w:b/>
        </w:rPr>
        <w:br/>
        <w:t xml:space="preserve">DSS + Personnel: </w:t>
      </w:r>
      <w:r>
        <w:t>$366,000</w:t>
      </w:r>
      <w:r>
        <w:rPr>
          <w:b/>
        </w:rPr>
        <w:br/>
      </w:r>
      <w:r>
        <w:rPr>
          <w:b/>
        </w:rPr>
        <w:t xml:space="preserve">As a % of the total request: </w:t>
      </w:r>
      <w:r>
        <w:t>10.1%</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845E52" w14:paraId="31616BB9" w14:textId="77777777">
        <w:tc>
          <w:tcPr>
            <w:tcW w:w="2160" w:type="dxa"/>
            <w:shd w:val="clear" w:color="auto" w:fill="AFC4E9"/>
          </w:tcPr>
          <w:p w14:paraId="0CBC7470" w14:textId="77777777" w:rsidR="00845E52" w:rsidRDefault="000E5577">
            <w:r>
              <w:rPr>
                <w:b/>
                <w:color w:val="000000"/>
                <w:sz w:val="20"/>
              </w:rPr>
              <w:t>Total Leverage (from above)</w:t>
            </w:r>
          </w:p>
        </w:tc>
        <w:tc>
          <w:tcPr>
            <w:tcW w:w="2160" w:type="dxa"/>
            <w:shd w:val="clear" w:color="auto" w:fill="AFC4E9"/>
          </w:tcPr>
          <w:p w14:paraId="34CB9779" w14:textId="77777777" w:rsidR="00845E52" w:rsidRDefault="000E5577">
            <w:r>
              <w:rPr>
                <w:b/>
                <w:color w:val="000000"/>
                <w:sz w:val="20"/>
              </w:rPr>
              <w:t>Amount Confirmed</w:t>
            </w:r>
          </w:p>
        </w:tc>
        <w:tc>
          <w:tcPr>
            <w:tcW w:w="2160" w:type="dxa"/>
            <w:shd w:val="clear" w:color="auto" w:fill="AFC4E9"/>
          </w:tcPr>
          <w:p w14:paraId="017ECBF0" w14:textId="77777777" w:rsidR="00845E52" w:rsidRDefault="000E5577">
            <w:r>
              <w:rPr>
                <w:b/>
                <w:color w:val="000000"/>
                <w:sz w:val="20"/>
              </w:rPr>
              <w:t>% of Total Leverage</w:t>
            </w:r>
          </w:p>
        </w:tc>
        <w:tc>
          <w:tcPr>
            <w:tcW w:w="2160" w:type="dxa"/>
            <w:shd w:val="clear" w:color="auto" w:fill="AFC4E9"/>
          </w:tcPr>
          <w:p w14:paraId="78625488" w14:textId="77777777" w:rsidR="00845E52" w:rsidRDefault="000E5577">
            <w:r>
              <w:rPr>
                <w:b/>
                <w:color w:val="000000"/>
                <w:sz w:val="20"/>
              </w:rPr>
              <w:t>Amount Anticipated</w:t>
            </w:r>
          </w:p>
        </w:tc>
        <w:tc>
          <w:tcPr>
            <w:tcW w:w="2160" w:type="dxa"/>
            <w:shd w:val="clear" w:color="auto" w:fill="AFC4E9"/>
          </w:tcPr>
          <w:p w14:paraId="6F51D4E6" w14:textId="77777777" w:rsidR="00845E52" w:rsidRDefault="000E5577">
            <w:r>
              <w:rPr>
                <w:b/>
                <w:color w:val="000000"/>
                <w:sz w:val="20"/>
              </w:rPr>
              <w:t>% of Total Leverage</w:t>
            </w:r>
          </w:p>
        </w:tc>
      </w:tr>
      <w:tr w:rsidR="00845E52" w14:paraId="14125D9B" w14:textId="77777777">
        <w:tc>
          <w:tcPr>
            <w:tcW w:w="2160" w:type="dxa"/>
          </w:tcPr>
          <w:p w14:paraId="016E6EE7" w14:textId="77777777" w:rsidR="00845E52" w:rsidRDefault="000E5577">
            <w:pPr>
              <w:jc w:val="right"/>
            </w:pPr>
            <w:r>
              <w:rPr>
                <w:sz w:val="20"/>
              </w:rPr>
              <w:t>$865,700</w:t>
            </w:r>
          </w:p>
        </w:tc>
        <w:tc>
          <w:tcPr>
            <w:tcW w:w="2160" w:type="dxa"/>
          </w:tcPr>
          <w:p w14:paraId="04A14D78" w14:textId="77777777" w:rsidR="00845E52" w:rsidRDefault="000E5577">
            <w:pPr>
              <w:jc w:val="right"/>
            </w:pPr>
            <w:r>
              <w:rPr>
                <w:sz w:val="20"/>
              </w:rPr>
              <w:t>$835,700</w:t>
            </w:r>
          </w:p>
        </w:tc>
        <w:tc>
          <w:tcPr>
            <w:tcW w:w="2160" w:type="dxa"/>
          </w:tcPr>
          <w:p w14:paraId="3B2594E4" w14:textId="77777777" w:rsidR="00845E52" w:rsidRDefault="000E5577">
            <w:r>
              <w:rPr>
                <w:sz w:val="20"/>
              </w:rPr>
              <w:t>96.53%</w:t>
            </w:r>
          </w:p>
        </w:tc>
        <w:tc>
          <w:tcPr>
            <w:tcW w:w="2160" w:type="dxa"/>
          </w:tcPr>
          <w:p w14:paraId="2BCDB8D1" w14:textId="77777777" w:rsidR="00845E52" w:rsidRDefault="000E5577">
            <w:pPr>
              <w:jc w:val="right"/>
            </w:pPr>
            <w:r>
              <w:rPr>
                <w:sz w:val="20"/>
              </w:rPr>
              <w:t>$30,000</w:t>
            </w:r>
          </w:p>
        </w:tc>
        <w:tc>
          <w:tcPr>
            <w:tcW w:w="2160" w:type="dxa"/>
          </w:tcPr>
          <w:p w14:paraId="0E37F72E" w14:textId="77777777" w:rsidR="00845E52" w:rsidRDefault="000E5577">
            <w:r>
              <w:rPr>
                <w:sz w:val="20"/>
              </w:rPr>
              <w:t>3.47%</w:t>
            </w:r>
          </w:p>
        </w:tc>
      </w:tr>
    </w:tbl>
    <w:p w14:paraId="1F9DB823" w14:textId="77777777" w:rsidR="00845E52" w:rsidRDefault="000E5577">
      <w:r>
        <w:rPr>
          <w:b/>
        </w:rPr>
        <w:t xml:space="preserve">Detail leverage sources and confirmation of funds: </w:t>
      </w:r>
      <w:r>
        <w:rPr>
          <w:b/>
        </w:rPr>
        <w:br/>
      </w:r>
      <w:r>
        <w:t>BWSR has secured general funds that will be used to cover BWSR personnel costs. As a program requirement BWSR will require a 25% non-state match for all projects completed.  Xerces Society has secured non-state funding that will be used to cover indirect costs associated with Xerces staff.</w:t>
      </w:r>
    </w:p>
    <w:p w14:paraId="00ADCC5E" w14:textId="77777777" w:rsidR="00845E52" w:rsidRDefault="000E5577">
      <w:r>
        <w:rPr>
          <w:b/>
        </w:rPr>
        <w:t xml:space="preserve">Does this proposal have the ability to be scalable?  </w:t>
      </w:r>
      <w:r>
        <w:rPr>
          <w:b/>
        </w:rPr>
        <w:br/>
      </w:r>
      <w:r>
        <w:t>Yes</w:t>
      </w:r>
    </w:p>
    <w:p w14:paraId="2685E7B9" w14:textId="77777777" w:rsidR="00845E52" w:rsidRDefault="000E5577">
      <w:pPr>
        <w:pStyle w:val="Heading3"/>
        <w:spacing w:before="60" w:after="80"/>
      </w:pPr>
      <w:r>
        <w:rPr>
          <w:color w:val="254885"/>
          <w:sz w:val="26"/>
        </w:rPr>
        <w:lastRenderedPageBreak/>
        <w:t>If the project received 50% of the requested funding</w:t>
      </w:r>
    </w:p>
    <w:p w14:paraId="7A17792C" w14:textId="77777777" w:rsidR="00845E52" w:rsidRDefault="000E5577">
      <w:pPr>
        <w:ind w:left="720"/>
      </w:pPr>
      <w:r>
        <w:rPr>
          <w:b/>
        </w:rPr>
        <w:t xml:space="preserve">Describe how the scaling would affect acres/activities and if not proportionately reduced, why? </w:t>
      </w:r>
      <w:r>
        <w:rPr>
          <w:b/>
        </w:rPr>
        <w:br/>
      </w:r>
      <w:r>
        <w:t>Partial funding would result in a propionate reduction of impacted acres.  Proposed outcomes and activities would still be accomplished but on a smaller scale.</w:t>
      </w:r>
    </w:p>
    <w:p w14:paraId="719097F0" w14:textId="77777777" w:rsidR="00845E52" w:rsidRDefault="000E5577">
      <w:pPr>
        <w:ind w:left="720"/>
      </w:pPr>
      <w:r>
        <w:rPr>
          <w:b/>
        </w:rPr>
        <w:t xml:space="preserve">Describe how personnel and DSS expenses would be adjusted and if not proportionately reduced, why? </w:t>
      </w:r>
      <w:r>
        <w:rPr>
          <w:b/>
        </w:rPr>
        <w:br/>
      </w:r>
      <w:r>
        <w:t>BWSR calculates direct support services costs that are directly related to a necessary for each request based upon the appropriation amount and type of work being done. Personnel and DSS costs would be scaled accordingly.</w:t>
      </w:r>
    </w:p>
    <w:p w14:paraId="5321B9AA" w14:textId="77777777" w:rsidR="00845E52" w:rsidRDefault="000E5577">
      <w:pPr>
        <w:pStyle w:val="Heading3"/>
        <w:spacing w:before="60" w:after="80"/>
      </w:pPr>
      <w:r>
        <w:rPr>
          <w:color w:val="254885"/>
          <w:sz w:val="26"/>
        </w:rPr>
        <w:t>If the project received 30% of the requested funding</w:t>
      </w:r>
    </w:p>
    <w:p w14:paraId="4FDC82C0" w14:textId="77777777" w:rsidR="00845E52" w:rsidRDefault="000E5577">
      <w:pPr>
        <w:ind w:left="720"/>
      </w:pPr>
      <w:r>
        <w:rPr>
          <w:b/>
        </w:rPr>
        <w:t xml:space="preserve">Describe how the scaling would affect acres/activities and if not proportionately reduced, why? </w:t>
      </w:r>
      <w:r>
        <w:rPr>
          <w:b/>
        </w:rPr>
        <w:br/>
      </w:r>
      <w:r>
        <w:t>Partial funding would result in a propionate reduction of impacted acres.  Proposed outcomes and activities would still be accomplished but on a smaller scale.</w:t>
      </w:r>
    </w:p>
    <w:p w14:paraId="5990F157" w14:textId="77777777" w:rsidR="00845E52" w:rsidRDefault="000E5577">
      <w:pPr>
        <w:ind w:left="720"/>
      </w:pPr>
      <w:r>
        <w:rPr>
          <w:b/>
        </w:rPr>
        <w:t xml:space="preserve">Describe how personnel and DSS expenses would be adjusted and if not proportionately reduced, why? </w:t>
      </w:r>
      <w:r>
        <w:rPr>
          <w:b/>
        </w:rPr>
        <w:br/>
      </w:r>
      <w:r>
        <w:t>BWSR calculates direct support services costs that are directly related to a necessary for each request based upon the appropriation amount and type of work being done. Personnel and DSS costs would be scaled accordingly.</w:t>
      </w:r>
    </w:p>
    <w:p w14:paraId="28877E88" w14:textId="77777777" w:rsidR="00845E52" w:rsidRDefault="000E5577">
      <w:pPr>
        <w:pStyle w:val="Heading3"/>
        <w:spacing w:before="60" w:after="80"/>
      </w:pPr>
      <w:r>
        <w:rPr>
          <w:color w:val="254885"/>
          <w:sz w:val="26"/>
        </w:rPr>
        <w:t>Personnel</w:t>
      </w:r>
    </w:p>
    <w:p w14:paraId="710DFEC5" w14:textId="77777777" w:rsidR="00845E52" w:rsidRDefault="000E5577">
      <w:r>
        <w:rPr>
          <w:b/>
        </w:rPr>
        <w:t xml:space="preserve">Has funding for these positions been requested in the past?  </w:t>
      </w:r>
      <w:r>
        <w:rPr>
          <w:b/>
        </w:rPr>
        <w:br/>
      </w:r>
      <w:r>
        <w:t>No</w:t>
      </w:r>
    </w:p>
    <w:p w14:paraId="40F3C3D4" w14:textId="77777777" w:rsidR="00845E52" w:rsidRDefault="000E5577">
      <w:pPr>
        <w:pStyle w:val="Heading3"/>
        <w:spacing w:before="60" w:after="80"/>
      </w:pPr>
      <w:r>
        <w:rPr>
          <w:color w:val="254885"/>
          <w:sz w:val="26"/>
        </w:rPr>
        <w:t>Contracts</w:t>
      </w:r>
    </w:p>
    <w:p w14:paraId="62AC6405" w14:textId="77777777" w:rsidR="00845E52" w:rsidRDefault="000E5577">
      <w:r>
        <w:rPr>
          <w:b/>
        </w:rPr>
        <w:t xml:space="preserve">What is included in the contracts line?  </w:t>
      </w:r>
      <w:r>
        <w:rPr>
          <w:b/>
        </w:rPr>
        <w:br/>
      </w:r>
      <w:r>
        <w:t>The amount listed in the contract line will be used to reimburse Counties, Municipalities, and/or Tribal nations for work associated with restoration and enhancement activities.</w:t>
      </w:r>
    </w:p>
    <w:p w14:paraId="0A860303" w14:textId="77777777" w:rsidR="00845E52" w:rsidRDefault="000E5577">
      <w:pPr>
        <w:pStyle w:val="Heading3"/>
        <w:spacing w:before="60" w:after="80"/>
      </w:pPr>
      <w:r>
        <w:rPr>
          <w:color w:val="254885"/>
          <w:sz w:val="26"/>
        </w:rPr>
        <w:t>Professional Services</w:t>
      </w:r>
    </w:p>
    <w:p w14:paraId="522E52D8" w14:textId="77777777" w:rsidR="00845E52" w:rsidRDefault="000E5577">
      <w:r>
        <w:rPr>
          <w:b/>
        </w:rPr>
        <w:t xml:space="preserve">What is included in the Professional Services line?  </w:t>
      </w:r>
      <w:r>
        <w:rPr>
          <w:b/>
        </w:rPr>
        <w:br/>
      </w:r>
    </w:p>
    <w:p w14:paraId="562D109E" w14:textId="77777777" w:rsidR="00845E52" w:rsidRDefault="000E5577">
      <w:pPr>
        <w:ind w:left="360"/>
      </w:pPr>
      <w:r>
        <w:t>Design/Engineering</w:t>
      </w:r>
    </w:p>
    <w:p w14:paraId="19E369AC" w14:textId="77777777" w:rsidR="00845E52" w:rsidRDefault="000E5577">
      <w:pPr>
        <w:ind w:left="360"/>
      </w:pPr>
      <w:r>
        <w:t>Other : BWSR will partner with Xerces Society to coordinate this project, develop project selection ranking criteria and review project proposals, produce innovative conservation planning and conservation plan templates for program participants, write technical guidance specific to oak savannas to guide project implementation and for inclusion in BWSR’s Native Vegetation Establishment and Enhancement Guidelines, and develop a long-term monitoring protocol for program participants</w:t>
      </w:r>
    </w:p>
    <w:p w14:paraId="4459B105" w14:textId="77777777" w:rsidR="00845E52" w:rsidRDefault="000E5577">
      <w:pPr>
        <w:pStyle w:val="Heading3"/>
        <w:spacing w:before="60" w:after="80"/>
      </w:pPr>
      <w:r>
        <w:rPr>
          <w:color w:val="254885"/>
          <w:sz w:val="26"/>
        </w:rPr>
        <w:t>Travel</w:t>
      </w:r>
    </w:p>
    <w:p w14:paraId="3FE8D5DF" w14:textId="77777777" w:rsidR="00845E52" w:rsidRDefault="000E5577">
      <w:r>
        <w:rPr>
          <w:b/>
        </w:rPr>
        <w:t xml:space="preserve">Does the amount in the travel line include equipment/vehicle rental?  </w:t>
      </w:r>
      <w:r>
        <w:rPr>
          <w:b/>
        </w:rPr>
        <w:br/>
      </w:r>
      <w:r>
        <w:t>No</w:t>
      </w:r>
    </w:p>
    <w:p w14:paraId="6261A9AC" w14:textId="77777777" w:rsidR="00845E52" w:rsidRDefault="000E5577">
      <w:r>
        <w:rPr>
          <w:b/>
        </w:rPr>
        <w:lastRenderedPageBreak/>
        <w:t xml:space="preserve">Explain the amount in the travel line outside of traditional travel costs of mileage, food, and lodging  </w:t>
      </w:r>
      <w:r>
        <w:rPr>
          <w:b/>
        </w:rPr>
        <w:br/>
      </w:r>
      <w:r>
        <w:t>The travel line will only be used for traditional travel costs.</w:t>
      </w:r>
    </w:p>
    <w:p w14:paraId="57B70745" w14:textId="77777777" w:rsidR="00845E52" w:rsidRDefault="000E5577">
      <w:r>
        <w:rPr>
          <w:b/>
        </w:rPr>
        <w:t xml:space="preserve">I understand and agree that lodging, meals, and mileage must comply with the current MMB Commissioner Plan:  </w:t>
      </w:r>
      <w:r>
        <w:rPr>
          <w:b/>
        </w:rPr>
        <w:br/>
      </w:r>
      <w:r>
        <w:t>Yes</w:t>
      </w:r>
    </w:p>
    <w:p w14:paraId="239ECF77" w14:textId="77777777" w:rsidR="00845E52" w:rsidRDefault="000E5577">
      <w:pPr>
        <w:pStyle w:val="Heading3"/>
        <w:spacing w:before="60" w:after="80"/>
      </w:pPr>
      <w:r>
        <w:rPr>
          <w:color w:val="254885"/>
          <w:sz w:val="26"/>
        </w:rPr>
        <w:t>Direct Support Services</w:t>
      </w:r>
    </w:p>
    <w:p w14:paraId="1E89C334" w14:textId="77777777" w:rsidR="00845E52" w:rsidRDefault="000E5577">
      <w:r>
        <w:rPr>
          <w:b/>
        </w:rPr>
        <w:t xml:space="preserve">How did you determine which portions of the Direct Support Services of your shared support services is direct to this program?  </w:t>
      </w:r>
      <w:r>
        <w:rPr>
          <w:b/>
        </w:rPr>
        <w:br/>
      </w:r>
      <w:r>
        <w:t>BWSR calculates direct support services costs that are directly related to and necessary for each request based on the type of work being done.</w:t>
      </w:r>
    </w:p>
    <w:p w14:paraId="2612537F" w14:textId="77777777" w:rsidR="00845E52" w:rsidRDefault="000E5577">
      <w:pPr>
        <w:pStyle w:val="Heading2"/>
        <w:spacing w:before="0" w:after="80"/>
        <w:jc w:val="center"/>
      </w:pPr>
      <w:r>
        <w:rPr>
          <w:color w:val="2C559C"/>
          <w:sz w:val="28"/>
          <w:u w:val="single"/>
        </w:rPr>
        <w:t>Federal Funds</w:t>
      </w:r>
    </w:p>
    <w:p w14:paraId="2819EC0E" w14:textId="77777777" w:rsidR="00845E52" w:rsidRDefault="000E5577">
      <w:r>
        <w:rPr>
          <w:b/>
        </w:rPr>
        <w:t xml:space="preserve">Do you anticipate federal funds as a match for this program?  </w:t>
      </w:r>
      <w:r>
        <w:rPr>
          <w:b/>
        </w:rPr>
        <w:br/>
      </w:r>
      <w:r>
        <w:t>No</w:t>
      </w:r>
    </w:p>
    <w:p w14:paraId="0581A26A" w14:textId="77777777" w:rsidR="00845E52" w:rsidRDefault="000E5577">
      <w:r>
        <w:br w:type="page"/>
      </w:r>
    </w:p>
    <w:p w14:paraId="5940815E" w14:textId="77777777" w:rsidR="00845E52" w:rsidRDefault="000E5577">
      <w:pPr>
        <w:pStyle w:val="Heading2"/>
        <w:spacing w:before="0" w:after="80"/>
        <w:jc w:val="center"/>
      </w:pPr>
      <w:r>
        <w:rPr>
          <w:color w:val="2C559C"/>
          <w:sz w:val="28"/>
          <w:u w:val="single"/>
        </w:rPr>
        <w:lastRenderedPageBreak/>
        <w:t>Output Tables</w:t>
      </w:r>
    </w:p>
    <w:p w14:paraId="1AAFCA38" w14:textId="77777777" w:rsidR="00845E52" w:rsidRDefault="000E5577">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45E52" w14:paraId="74DA1301" w14:textId="77777777">
        <w:tc>
          <w:tcPr>
            <w:tcW w:w="3600" w:type="dxa"/>
            <w:shd w:val="clear" w:color="auto" w:fill="AFC4E9"/>
          </w:tcPr>
          <w:p w14:paraId="64ED7C5D" w14:textId="77777777" w:rsidR="00845E52" w:rsidRDefault="000E5577">
            <w:r>
              <w:rPr>
                <w:b/>
                <w:color w:val="000000"/>
                <w:sz w:val="20"/>
              </w:rPr>
              <w:t>Type</w:t>
            </w:r>
          </w:p>
        </w:tc>
        <w:tc>
          <w:tcPr>
            <w:tcW w:w="1440" w:type="dxa"/>
            <w:shd w:val="clear" w:color="auto" w:fill="AFC4E9"/>
          </w:tcPr>
          <w:p w14:paraId="05C8FA91" w14:textId="77777777" w:rsidR="00845E52" w:rsidRDefault="000E5577">
            <w:r>
              <w:rPr>
                <w:b/>
                <w:color w:val="000000"/>
                <w:sz w:val="20"/>
              </w:rPr>
              <w:t>Wetland</w:t>
            </w:r>
          </w:p>
        </w:tc>
        <w:tc>
          <w:tcPr>
            <w:tcW w:w="1440" w:type="dxa"/>
            <w:shd w:val="clear" w:color="auto" w:fill="AFC4E9"/>
          </w:tcPr>
          <w:p w14:paraId="0A414D0B" w14:textId="77777777" w:rsidR="00845E52" w:rsidRDefault="000E5577">
            <w:r>
              <w:rPr>
                <w:b/>
                <w:color w:val="000000"/>
                <w:sz w:val="20"/>
              </w:rPr>
              <w:t>Prairie</w:t>
            </w:r>
          </w:p>
        </w:tc>
        <w:tc>
          <w:tcPr>
            <w:tcW w:w="1440" w:type="dxa"/>
            <w:shd w:val="clear" w:color="auto" w:fill="AFC4E9"/>
          </w:tcPr>
          <w:p w14:paraId="0635539A" w14:textId="77777777" w:rsidR="00845E52" w:rsidRDefault="000E5577">
            <w:r>
              <w:rPr>
                <w:b/>
                <w:color w:val="000000"/>
                <w:sz w:val="20"/>
              </w:rPr>
              <w:t>Forest</w:t>
            </w:r>
          </w:p>
        </w:tc>
        <w:tc>
          <w:tcPr>
            <w:tcW w:w="1440" w:type="dxa"/>
            <w:shd w:val="clear" w:color="auto" w:fill="AFC4E9"/>
          </w:tcPr>
          <w:p w14:paraId="46D4DBB0" w14:textId="77777777" w:rsidR="00845E52" w:rsidRDefault="000E5577">
            <w:r>
              <w:rPr>
                <w:b/>
                <w:color w:val="000000"/>
                <w:sz w:val="20"/>
              </w:rPr>
              <w:t>Habitat</w:t>
            </w:r>
          </w:p>
        </w:tc>
        <w:tc>
          <w:tcPr>
            <w:tcW w:w="1800" w:type="dxa"/>
            <w:shd w:val="clear" w:color="auto" w:fill="AFC4E9"/>
          </w:tcPr>
          <w:p w14:paraId="6EFCD73C" w14:textId="77777777" w:rsidR="00845E52" w:rsidRDefault="000E5577">
            <w:r>
              <w:rPr>
                <w:b/>
                <w:color w:val="000000"/>
                <w:sz w:val="20"/>
              </w:rPr>
              <w:t xml:space="preserve">Total </w:t>
            </w:r>
            <w:r>
              <w:rPr>
                <w:b/>
                <w:color w:val="000000"/>
                <w:sz w:val="20"/>
              </w:rPr>
              <w:t>Acres</w:t>
            </w:r>
          </w:p>
        </w:tc>
      </w:tr>
      <w:tr w:rsidR="00845E52" w14:paraId="12C10AFE" w14:textId="77777777">
        <w:tc>
          <w:tcPr>
            <w:tcW w:w="3600" w:type="dxa"/>
          </w:tcPr>
          <w:p w14:paraId="6D17F117" w14:textId="77777777" w:rsidR="00845E52" w:rsidRDefault="000E5577">
            <w:r>
              <w:rPr>
                <w:sz w:val="20"/>
              </w:rPr>
              <w:t>Restore</w:t>
            </w:r>
          </w:p>
        </w:tc>
        <w:tc>
          <w:tcPr>
            <w:tcW w:w="1440" w:type="dxa"/>
          </w:tcPr>
          <w:p w14:paraId="4A88F691" w14:textId="77777777" w:rsidR="00845E52" w:rsidRDefault="000E5577">
            <w:pPr>
              <w:jc w:val="right"/>
            </w:pPr>
            <w:r>
              <w:rPr>
                <w:sz w:val="20"/>
              </w:rPr>
              <w:t>0</w:t>
            </w:r>
          </w:p>
        </w:tc>
        <w:tc>
          <w:tcPr>
            <w:tcW w:w="1440" w:type="dxa"/>
          </w:tcPr>
          <w:p w14:paraId="0367F238" w14:textId="77777777" w:rsidR="00845E52" w:rsidRDefault="000E5577">
            <w:pPr>
              <w:jc w:val="right"/>
            </w:pPr>
            <w:r>
              <w:rPr>
                <w:sz w:val="20"/>
              </w:rPr>
              <w:t>150</w:t>
            </w:r>
          </w:p>
        </w:tc>
        <w:tc>
          <w:tcPr>
            <w:tcW w:w="1440" w:type="dxa"/>
          </w:tcPr>
          <w:p w14:paraId="45C40424" w14:textId="77777777" w:rsidR="00845E52" w:rsidRDefault="000E5577">
            <w:pPr>
              <w:jc w:val="right"/>
            </w:pPr>
            <w:r>
              <w:rPr>
                <w:sz w:val="20"/>
              </w:rPr>
              <w:t>150</w:t>
            </w:r>
          </w:p>
        </w:tc>
        <w:tc>
          <w:tcPr>
            <w:tcW w:w="1440" w:type="dxa"/>
          </w:tcPr>
          <w:p w14:paraId="0BDFC2F5" w14:textId="77777777" w:rsidR="00845E52" w:rsidRDefault="000E5577">
            <w:pPr>
              <w:jc w:val="right"/>
            </w:pPr>
            <w:r>
              <w:rPr>
                <w:sz w:val="20"/>
              </w:rPr>
              <w:t>300</w:t>
            </w:r>
          </w:p>
        </w:tc>
        <w:tc>
          <w:tcPr>
            <w:tcW w:w="1800" w:type="dxa"/>
          </w:tcPr>
          <w:p w14:paraId="2246D75F" w14:textId="77777777" w:rsidR="00845E52" w:rsidRDefault="000E5577">
            <w:pPr>
              <w:jc w:val="right"/>
            </w:pPr>
            <w:r>
              <w:rPr>
                <w:sz w:val="20"/>
              </w:rPr>
              <w:t>600</w:t>
            </w:r>
          </w:p>
        </w:tc>
      </w:tr>
      <w:tr w:rsidR="00845E52" w14:paraId="67F0910C" w14:textId="77777777">
        <w:tc>
          <w:tcPr>
            <w:tcW w:w="3600" w:type="dxa"/>
          </w:tcPr>
          <w:p w14:paraId="12CF5D96" w14:textId="77777777" w:rsidR="00845E52" w:rsidRDefault="000E5577">
            <w:r>
              <w:rPr>
                <w:sz w:val="20"/>
              </w:rPr>
              <w:t>Protect in Fee with State PILT Liability</w:t>
            </w:r>
          </w:p>
        </w:tc>
        <w:tc>
          <w:tcPr>
            <w:tcW w:w="1440" w:type="dxa"/>
          </w:tcPr>
          <w:p w14:paraId="3845F685" w14:textId="77777777" w:rsidR="00845E52" w:rsidRDefault="000E5577">
            <w:pPr>
              <w:jc w:val="right"/>
            </w:pPr>
            <w:r>
              <w:rPr>
                <w:sz w:val="20"/>
              </w:rPr>
              <w:t>0</w:t>
            </w:r>
          </w:p>
        </w:tc>
        <w:tc>
          <w:tcPr>
            <w:tcW w:w="1440" w:type="dxa"/>
          </w:tcPr>
          <w:p w14:paraId="6F0F1A8A" w14:textId="77777777" w:rsidR="00845E52" w:rsidRDefault="000E5577">
            <w:pPr>
              <w:jc w:val="right"/>
            </w:pPr>
            <w:r>
              <w:rPr>
                <w:sz w:val="20"/>
              </w:rPr>
              <w:t>0</w:t>
            </w:r>
          </w:p>
        </w:tc>
        <w:tc>
          <w:tcPr>
            <w:tcW w:w="1440" w:type="dxa"/>
          </w:tcPr>
          <w:p w14:paraId="317A1240" w14:textId="77777777" w:rsidR="00845E52" w:rsidRDefault="000E5577">
            <w:pPr>
              <w:jc w:val="right"/>
            </w:pPr>
            <w:r>
              <w:rPr>
                <w:sz w:val="20"/>
              </w:rPr>
              <w:t>0</w:t>
            </w:r>
          </w:p>
        </w:tc>
        <w:tc>
          <w:tcPr>
            <w:tcW w:w="1440" w:type="dxa"/>
          </w:tcPr>
          <w:p w14:paraId="331AED4E" w14:textId="77777777" w:rsidR="00845E52" w:rsidRDefault="000E5577">
            <w:pPr>
              <w:jc w:val="right"/>
            </w:pPr>
            <w:r>
              <w:rPr>
                <w:sz w:val="20"/>
              </w:rPr>
              <w:t>0</w:t>
            </w:r>
          </w:p>
        </w:tc>
        <w:tc>
          <w:tcPr>
            <w:tcW w:w="1800" w:type="dxa"/>
          </w:tcPr>
          <w:p w14:paraId="2B0E8AD3" w14:textId="77777777" w:rsidR="00845E52" w:rsidRDefault="000E5577">
            <w:pPr>
              <w:jc w:val="right"/>
            </w:pPr>
            <w:r>
              <w:rPr>
                <w:sz w:val="20"/>
              </w:rPr>
              <w:t>0</w:t>
            </w:r>
          </w:p>
        </w:tc>
      </w:tr>
      <w:tr w:rsidR="00845E52" w14:paraId="09E90953" w14:textId="77777777">
        <w:tc>
          <w:tcPr>
            <w:tcW w:w="3600" w:type="dxa"/>
          </w:tcPr>
          <w:p w14:paraId="12F975BE" w14:textId="77777777" w:rsidR="00845E52" w:rsidRDefault="000E5577">
            <w:r>
              <w:rPr>
                <w:sz w:val="20"/>
              </w:rPr>
              <w:t>Protect in Fee w/o State PILT Liability</w:t>
            </w:r>
          </w:p>
        </w:tc>
        <w:tc>
          <w:tcPr>
            <w:tcW w:w="1440" w:type="dxa"/>
          </w:tcPr>
          <w:p w14:paraId="0726C195" w14:textId="77777777" w:rsidR="00845E52" w:rsidRDefault="000E5577">
            <w:pPr>
              <w:jc w:val="right"/>
            </w:pPr>
            <w:r>
              <w:rPr>
                <w:sz w:val="20"/>
              </w:rPr>
              <w:t>0</w:t>
            </w:r>
          </w:p>
        </w:tc>
        <w:tc>
          <w:tcPr>
            <w:tcW w:w="1440" w:type="dxa"/>
          </w:tcPr>
          <w:p w14:paraId="74DD3682" w14:textId="77777777" w:rsidR="00845E52" w:rsidRDefault="000E5577">
            <w:pPr>
              <w:jc w:val="right"/>
            </w:pPr>
            <w:r>
              <w:rPr>
                <w:sz w:val="20"/>
              </w:rPr>
              <w:t>0</w:t>
            </w:r>
          </w:p>
        </w:tc>
        <w:tc>
          <w:tcPr>
            <w:tcW w:w="1440" w:type="dxa"/>
          </w:tcPr>
          <w:p w14:paraId="65812112" w14:textId="77777777" w:rsidR="00845E52" w:rsidRDefault="000E5577">
            <w:pPr>
              <w:jc w:val="right"/>
            </w:pPr>
            <w:r>
              <w:rPr>
                <w:sz w:val="20"/>
              </w:rPr>
              <w:t>0</w:t>
            </w:r>
          </w:p>
        </w:tc>
        <w:tc>
          <w:tcPr>
            <w:tcW w:w="1440" w:type="dxa"/>
          </w:tcPr>
          <w:p w14:paraId="25DE9585" w14:textId="77777777" w:rsidR="00845E52" w:rsidRDefault="000E5577">
            <w:pPr>
              <w:jc w:val="right"/>
            </w:pPr>
            <w:r>
              <w:rPr>
                <w:sz w:val="20"/>
              </w:rPr>
              <w:t>0</w:t>
            </w:r>
          </w:p>
        </w:tc>
        <w:tc>
          <w:tcPr>
            <w:tcW w:w="1800" w:type="dxa"/>
          </w:tcPr>
          <w:p w14:paraId="671ACAF5" w14:textId="77777777" w:rsidR="00845E52" w:rsidRDefault="000E5577">
            <w:pPr>
              <w:jc w:val="right"/>
            </w:pPr>
            <w:r>
              <w:rPr>
                <w:sz w:val="20"/>
              </w:rPr>
              <w:t>0</w:t>
            </w:r>
          </w:p>
        </w:tc>
      </w:tr>
      <w:tr w:rsidR="00845E52" w14:paraId="075B660F" w14:textId="77777777">
        <w:tc>
          <w:tcPr>
            <w:tcW w:w="3600" w:type="dxa"/>
          </w:tcPr>
          <w:p w14:paraId="4C177358" w14:textId="77777777" w:rsidR="00845E52" w:rsidRDefault="000E5577">
            <w:r>
              <w:rPr>
                <w:sz w:val="20"/>
              </w:rPr>
              <w:t>Protect in Easement</w:t>
            </w:r>
          </w:p>
        </w:tc>
        <w:tc>
          <w:tcPr>
            <w:tcW w:w="1440" w:type="dxa"/>
          </w:tcPr>
          <w:p w14:paraId="3AB0C7AB" w14:textId="77777777" w:rsidR="00845E52" w:rsidRDefault="000E5577">
            <w:pPr>
              <w:jc w:val="right"/>
            </w:pPr>
            <w:r>
              <w:rPr>
                <w:sz w:val="20"/>
              </w:rPr>
              <w:t>0</w:t>
            </w:r>
          </w:p>
        </w:tc>
        <w:tc>
          <w:tcPr>
            <w:tcW w:w="1440" w:type="dxa"/>
          </w:tcPr>
          <w:p w14:paraId="2AE8B6A7" w14:textId="77777777" w:rsidR="00845E52" w:rsidRDefault="000E5577">
            <w:pPr>
              <w:jc w:val="right"/>
            </w:pPr>
            <w:r>
              <w:rPr>
                <w:sz w:val="20"/>
              </w:rPr>
              <w:t>0</w:t>
            </w:r>
          </w:p>
        </w:tc>
        <w:tc>
          <w:tcPr>
            <w:tcW w:w="1440" w:type="dxa"/>
          </w:tcPr>
          <w:p w14:paraId="3CB3DBBE" w14:textId="77777777" w:rsidR="00845E52" w:rsidRDefault="000E5577">
            <w:pPr>
              <w:jc w:val="right"/>
            </w:pPr>
            <w:r>
              <w:rPr>
                <w:sz w:val="20"/>
              </w:rPr>
              <w:t>0</w:t>
            </w:r>
          </w:p>
        </w:tc>
        <w:tc>
          <w:tcPr>
            <w:tcW w:w="1440" w:type="dxa"/>
          </w:tcPr>
          <w:p w14:paraId="5B01CEE7" w14:textId="77777777" w:rsidR="00845E52" w:rsidRDefault="000E5577">
            <w:pPr>
              <w:jc w:val="right"/>
            </w:pPr>
            <w:r>
              <w:rPr>
                <w:sz w:val="20"/>
              </w:rPr>
              <w:t>0</w:t>
            </w:r>
          </w:p>
        </w:tc>
        <w:tc>
          <w:tcPr>
            <w:tcW w:w="1800" w:type="dxa"/>
          </w:tcPr>
          <w:p w14:paraId="6F6B6DAD" w14:textId="77777777" w:rsidR="00845E52" w:rsidRDefault="000E5577">
            <w:pPr>
              <w:jc w:val="right"/>
            </w:pPr>
            <w:r>
              <w:rPr>
                <w:sz w:val="20"/>
              </w:rPr>
              <w:t>0</w:t>
            </w:r>
          </w:p>
        </w:tc>
      </w:tr>
      <w:tr w:rsidR="00845E52" w14:paraId="1B2AC14F" w14:textId="77777777">
        <w:tc>
          <w:tcPr>
            <w:tcW w:w="3600" w:type="dxa"/>
          </w:tcPr>
          <w:p w14:paraId="5867099E" w14:textId="77777777" w:rsidR="00845E52" w:rsidRDefault="000E5577">
            <w:r>
              <w:rPr>
                <w:sz w:val="20"/>
              </w:rPr>
              <w:t>Enhance</w:t>
            </w:r>
          </w:p>
        </w:tc>
        <w:tc>
          <w:tcPr>
            <w:tcW w:w="1440" w:type="dxa"/>
          </w:tcPr>
          <w:p w14:paraId="03E8C6C6" w14:textId="77777777" w:rsidR="00845E52" w:rsidRDefault="000E5577">
            <w:pPr>
              <w:jc w:val="right"/>
            </w:pPr>
            <w:r>
              <w:rPr>
                <w:sz w:val="20"/>
              </w:rPr>
              <w:t>0</w:t>
            </w:r>
          </w:p>
        </w:tc>
        <w:tc>
          <w:tcPr>
            <w:tcW w:w="1440" w:type="dxa"/>
          </w:tcPr>
          <w:p w14:paraId="141E3B47" w14:textId="77777777" w:rsidR="00845E52" w:rsidRDefault="000E5577">
            <w:pPr>
              <w:jc w:val="right"/>
            </w:pPr>
            <w:r>
              <w:rPr>
                <w:sz w:val="20"/>
              </w:rPr>
              <w:t>100</w:t>
            </w:r>
          </w:p>
        </w:tc>
        <w:tc>
          <w:tcPr>
            <w:tcW w:w="1440" w:type="dxa"/>
          </w:tcPr>
          <w:p w14:paraId="66D4BFBF" w14:textId="77777777" w:rsidR="00845E52" w:rsidRDefault="000E5577">
            <w:pPr>
              <w:jc w:val="right"/>
            </w:pPr>
            <w:r>
              <w:rPr>
                <w:sz w:val="20"/>
              </w:rPr>
              <w:t>100</w:t>
            </w:r>
          </w:p>
        </w:tc>
        <w:tc>
          <w:tcPr>
            <w:tcW w:w="1440" w:type="dxa"/>
          </w:tcPr>
          <w:p w14:paraId="0ACD01FE" w14:textId="77777777" w:rsidR="00845E52" w:rsidRDefault="000E5577">
            <w:pPr>
              <w:jc w:val="right"/>
            </w:pPr>
            <w:r>
              <w:rPr>
                <w:sz w:val="20"/>
              </w:rPr>
              <w:t>200</w:t>
            </w:r>
          </w:p>
        </w:tc>
        <w:tc>
          <w:tcPr>
            <w:tcW w:w="1800" w:type="dxa"/>
          </w:tcPr>
          <w:p w14:paraId="75D22D8F" w14:textId="77777777" w:rsidR="00845E52" w:rsidRDefault="000E5577">
            <w:pPr>
              <w:jc w:val="right"/>
            </w:pPr>
            <w:r>
              <w:rPr>
                <w:sz w:val="20"/>
              </w:rPr>
              <w:t>400</w:t>
            </w:r>
          </w:p>
        </w:tc>
      </w:tr>
      <w:tr w:rsidR="00845E52" w14:paraId="3A01ECF6" w14:textId="77777777">
        <w:tc>
          <w:tcPr>
            <w:tcW w:w="3600" w:type="dxa"/>
            <w:shd w:val="clear" w:color="auto" w:fill="EEEEEE"/>
          </w:tcPr>
          <w:p w14:paraId="5246BF00" w14:textId="77777777" w:rsidR="00845E52" w:rsidRDefault="000E5577">
            <w:r>
              <w:rPr>
                <w:b/>
                <w:color w:val="000000"/>
                <w:sz w:val="20"/>
              </w:rPr>
              <w:t>Total</w:t>
            </w:r>
          </w:p>
        </w:tc>
        <w:tc>
          <w:tcPr>
            <w:tcW w:w="1440" w:type="dxa"/>
            <w:shd w:val="clear" w:color="auto" w:fill="EEEEEE"/>
          </w:tcPr>
          <w:p w14:paraId="7F1A51E4" w14:textId="77777777" w:rsidR="00845E52" w:rsidRDefault="000E5577">
            <w:pPr>
              <w:jc w:val="right"/>
            </w:pPr>
            <w:r>
              <w:rPr>
                <w:b/>
                <w:color w:val="000000"/>
                <w:sz w:val="20"/>
              </w:rPr>
              <w:t>0</w:t>
            </w:r>
          </w:p>
        </w:tc>
        <w:tc>
          <w:tcPr>
            <w:tcW w:w="1440" w:type="dxa"/>
            <w:shd w:val="clear" w:color="auto" w:fill="EEEEEE"/>
          </w:tcPr>
          <w:p w14:paraId="2FC49170" w14:textId="77777777" w:rsidR="00845E52" w:rsidRDefault="000E5577">
            <w:pPr>
              <w:jc w:val="right"/>
            </w:pPr>
            <w:r>
              <w:rPr>
                <w:b/>
                <w:color w:val="000000"/>
                <w:sz w:val="20"/>
              </w:rPr>
              <w:t>250</w:t>
            </w:r>
          </w:p>
        </w:tc>
        <w:tc>
          <w:tcPr>
            <w:tcW w:w="1440" w:type="dxa"/>
            <w:shd w:val="clear" w:color="auto" w:fill="EEEEEE"/>
          </w:tcPr>
          <w:p w14:paraId="230C4809" w14:textId="77777777" w:rsidR="00845E52" w:rsidRDefault="000E5577">
            <w:pPr>
              <w:jc w:val="right"/>
            </w:pPr>
            <w:r>
              <w:rPr>
                <w:b/>
                <w:color w:val="000000"/>
                <w:sz w:val="20"/>
              </w:rPr>
              <w:t>250</w:t>
            </w:r>
          </w:p>
        </w:tc>
        <w:tc>
          <w:tcPr>
            <w:tcW w:w="1440" w:type="dxa"/>
            <w:shd w:val="clear" w:color="auto" w:fill="EEEEEE"/>
          </w:tcPr>
          <w:p w14:paraId="29344CA6" w14:textId="77777777" w:rsidR="00845E52" w:rsidRDefault="000E5577">
            <w:pPr>
              <w:jc w:val="right"/>
            </w:pPr>
            <w:r>
              <w:rPr>
                <w:b/>
                <w:color w:val="000000"/>
                <w:sz w:val="20"/>
              </w:rPr>
              <w:t>500</w:t>
            </w:r>
          </w:p>
        </w:tc>
        <w:tc>
          <w:tcPr>
            <w:tcW w:w="1800" w:type="dxa"/>
            <w:shd w:val="clear" w:color="auto" w:fill="EEEEEE"/>
          </w:tcPr>
          <w:p w14:paraId="566D4BCD" w14:textId="77777777" w:rsidR="00845E52" w:rsidRDefault="000E5577">
            <w:pPr>
              <w:jc w:val="right"/>
            </w:pPr>
            <w:r>
              <w:rPr>
                <w:b/>
                <w:color w:val="000000"/>
                <w:sz w:val="20"/>
              </w:rPr>
              <w:t>1,000</w:t>
            </w:r>
          </w:p>
        </w:tc>
      </w:tr>
    </w:tbl>
    <w:p w14:paraId="76EC6C03" w14:textId="77777777" w:rsidR="00845E52" w:rsidRDefault="000E5577">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45E52" w14:paraId="6287F854" w14:textId="77777777">
        <w:trPr>
          <w:tblHeader/>
        </w:trPr>
        <w:tc>
          <w:tcPr>
            <w:tcW w:w="3744" w:type="dxa"/>
            <w:shd w:val="clear" w:color="auto" w:fill="AFC4E9"/>
          </w:tcPr>
          <w:p w14:paraId="66F89657" w14:textId="77777777" w:rsidR="00845E52" w:rsidRDefault="00845E52"/>
        </w:tc>
        <w:tc>
          <w:tcPr>
            <w:tcW w:w="1800" w:type="dxa"/>
            <w:shd w:val="clear" w:color="auto" w:fill="AFC4E9"/>
          </w:tcPr>
          <w:p w14:paraId="69AC6D22" w14:textId="77777777" w:rsidR="00845E52" w:rsidRDefault="000E5577">
            <w:r>
              <w:rPr>
                <w:b/>
                <w:color w:val="000000"/>
                <w:sz w:val="20"/>
              </w:rPr>
              <w:t>RESTORE</w:t>
            </w:r>
          </w:p>
        </w:tc>
        <w:tc>
          <w:tcPr>
            <w:tcW w:w="1872" w:type="dxa"/>
            <w:shd w:val="clear" w:color="auto" w:fill="AFC4E9"/>
          </w:tcPr>
          <w:p w14:paraId="16E38FEA" w14:textId="77777777" w:rsidR="00845E52" w:rsidRDefault="00845E52"/>
        </w:tc>
        <w:tc>
          <w:tcPr>
            <w:tcW w:w="1800" w:type="dxa"/>
            <w:shd w:val="clear" w:color="auto" w:fill="AFC4E9"/>
          </w:tcPr>
          <w:p w14:paraId="3314C054" w14:textId="77777777" w:rsidR="00845E52" w:rsidRDefault="000E5577">
            <w:r>
              <w:rPr>
                <w:b/>
                <w:color w:val="000000"/>
                <w:sz w:val="20"/>
              </w:rPr>
              <w:t>ENHANCE</w:t>
            </w:r>
          </w:p>
        </w:tc>
        <w:tc>
          <w:tcPr>
            <w:tcW w:w="1872" w:type="dxa"/>
            <w:shd w:val="clear" w:color="auto" w:fill="AFC4E9"/>
          </w:tcPr>
          <w:p w14:paraId="3E231275" w14:textId="77777777" w:rsidR="00845E52" w:rsidRDefault="00845E52"/>
        </w:tc>
      </w:tr>
      <w:tr w:rsidR="00845E52" w14:paraId="11D3956D" w14:textId="77777777">
        <w:trPr>
          <w:tblHeader/>
        </w:trPr>
        <w:tc>
          <w:tcPr>
            <w:tcW w:w="3744" w:type="dxa"/>
            <w:shd w:val="clear" w:color="auto" w:fill="AFC4E9"/>
          </w:tcPr>
          <w:p w14:paraId="154EA8F4" w14:textId="77777777" w:rsidR="00845E52" w:rsidRDefault="00845E52"/>
        </w:tc>
        <w:tc>
          <w:tcPr>
            <w:tcW w:w="1800" w:type="dxa"/>
            <w:shd w:val="clear" w:color="auto" w:fill="AFC4E9"/>
          </w:tcPr>
          <w:p w14:paraId="05B4447A" w14:textId="77777777" w:rsidR="00845E52" w:rsidRDefault="000E5577">
            <w:pPr>
              <w:jc w:val="right"/>
            </w:pPr>
            <w:r>
              <w:rPr>
                <w:b/>
                <w:color w:val="000000"/>
                <w:sz w:val="20"/>
              </w:rPr>
              <w:t>Lands acquired with OHF</w:t>
            </w:r>
          </w:p>
        </w:tc>
        <w:tc>
          <w:tcPr>
            <w:tcW w:w="1872" w:type="dxa"/>
            <w:shd w:val="clear" w:color="auto" w:fill="AFC4E9"/>
          </w:tcPr>
          <w:p w14:paraId="6FB3B9C2" w14:textId="77777777" w:rsidR="00845E52" w:rsidRDefault="000E5577">
            <w:pPr>
              <w:jc w:val="right"/>
            </w:pPr>
            <w:r>
              <w:rPr>
                <w:b/>
                <w:color w:val="000000"/>
                <w:sz w:val="20"/>
              </w:rPr>
              <w:t>Lands NOT acquired with OHF</w:t>
            </w:r>
          </w:p>
        </w:tc>
        <w:tc>
          <w:tcPr>
            <w:tcW w:w="1800" w:type="dxa"/>
            <w:shd w:val="clear" w:color="auto" w:fill="AFC4E9"/>
          </w:tcPr>
          <w:p w14:paraId="5CEA4594" w14:textId="77777777" w:rsidR="00845E52" w:rsidRDefault="000E5577">
            <w:pPr>
              <w:jc w:val="right"/>
            </w:pPr>
            <w:r>
              <w:rPr>
                <w:b/>
                <w:color w:val="000000"/>
                <w:sz w:val="20"/>
              </w:rPr>
              <w:t>Lands acquired with OHF</w:t>
            </w:r>
          </w:p>
        </w:tc>
        <w:tc>
          <w:tcPr>
            <w:tcW w:w="1872" w:type="dxa"/>
            <w:shd w:val="clear" w:color="auto" w:fill="AFC4E9"/>
          </w:tcPr>
          <w:p w14:paraId="227C3395" w14:textId="77777777" w:rsidR="00845E52" w:rsidRDefault="000E5577">
            <w:pPr>
              <w:jc w:val="right"/>
            </w:pPr>
            <w:r>
              <w:rPr>
                <w:b/>
                <w:color w:val="000000"/>
                <w:sz w:val="20"/>
              </w:rPr>
              <w:t>Lands NOT acquired with OHF</w:t>
            </w:r>
          </w:p>
        </w:tc>
      </w:tr>
      <w:tr w:rsidR="00845E52" w14:paraId="2846F32E" w14:textId="77777777">
        <w:tc>
          <w:tcPr>
            <w:tcW w:w="3744" w:type="dxa"/>
          </w:tcPr>
          <w:p w14:paraId="7D183635" w14:textId="77777777" w:rsidR="00845E52" w:rsidRDefault="000E5577">
            <w:r>
              <w:rPr>
                <w:sz w:val="20"/>
              </w:rPr>
              <w:t>DNR Lands (WMA, State Forests, etc)</w:t>
            </w:r>
          </w:p>
        </w:tc>
        <w:tc>
          <w:tcPr>
            <w:tcW w:w="1800" w:type="dxa"/>
          </w:tcPr>
          <w:p w14:paraId="24E497A0" w14:textId="77777777" w:rsidR="00845E52" w:rsidRDefault="000E5577">
            <w:pPr>
              <w:jc w:val="right"/>
            </w:pPr>
            <w:r>
              <w:rPr>
                <w:sz w:val="20"/>
              </w:rPr>
              <w:t>-</w:t>
            </w:r>
          </w:p>
        </w:tc>
        <w:tc>
          <w:tcPr>
            <w:tcW w:w="1872" w:type="dxa"/>
          </w:tcPr>
          <w:p w14:paraId="70999F14" w14:textId="77777777" w:rsidR="00845E52" w:rsidRDefault="000E5577">
            <w:pPr>
              <w:jc w:val="right"/>
            </w:pPr>
            <w:r>
              <w:rPr>
                <w:sz w:val="20"/>
              </w:rPr>
              <w:t>-</w:t>
            </w:r>
          </w:p>
        </w:tc>
        <w:tc>
          <w:tcPr>
            <w:tcW w:w="1800" w:type="dxa"/>
          </w:tcPr>
          <w:p w14:paraId="5078A6D2" w14:textId="77777777" w:rsidR="00845E52" w:rsidRDefault="000E5577">
            <w:pPr>
              <w:jc w:val="right"/>
            </w:pPr>
            <w:r>
              <w:rPr>
                <w:sz w:val="20"/>
              </w:rPr>
              <w:t>-</w:t>
            </w:r>
          </w:p>
        </w:tc>
        <w:tc>
          <w:tcPr>
            <w:tcW w:w="1872" w:type="dxa"/>
          </w:tcPr>
          <w:p w14:paraId="3FA49723" w14:textId="77777777" w:rsidR="00845E52" w:rsidRDefault="000E5577">
            <w:pPr>
              <w:jc w:val="right"/>
            </w:pPr>
            <w:r>
              <w:rPr>
                <w:sz w:val="20"/>
              </w:rPr>
              <w:t>-</w:t>
            </w:r>
          </w:p>
        </w:tc>
      </w:tr>
      <w:tr w:rsidR="00845E52" w14:paraId="0A02706B" w14:textId="77777777">
        <w:tc>
          <w:tcPr>
            <w:tcW w:w="3744" w:type="dxa"/>
          </w:tcPr>
          <w:p w14:paraId="44EC00E8" w14:textId="77777777" w:rsidR="00845E52" w:rsidRDefault="000E5577">
            <w:r>
              <w:rPr>
                <w:sz w:val="20"/>
              </w:rPr>
              <w:t>Non-DNR Lands (city, state, federal, etc.)</w:t>
            </w:r>
          </w:p>
        </w:tc>
        <w:tc>
          <w:tcPr>
            <w:tcW w:w="1800" w:type="dxa"/>
          </w:tcPr>
          <w:p w14:paraId="2CEB8BEA" w14:textId="77777777" w:rsidR="00845E52" w:rsidRDefault="000E5577">
            <w:pPr>
              <w:jc w:val="right"/>
            </w:pPr>
            <w:r>
              <w:rPr>
                <w:sz w:val="20"/>
              </w:rPr>
              <w:t>-</w:t>
            </w:r>
          </w:p>
        </w:tc>
        <w:tc>
          <w:tcPr>
            <w:tcW w:w="1872" w:type="dxa"/>
          </w:tcPr>
          <w:p w14:paraId="63635C5C" w14:textId="77777777" w:rsidR="00845E52" w:rsidRDefault="000E5577">
            <w:pPr>
              <w:jc w:val="right"/>
            </w:pPr>
            <w:r>
              <w:rPr>
                <w:sz w:val="20"/>
              </w:rPr>
              <w:t>600</w:t>
            </w:r>
          </w:p>
        </w:tc>
        <w:tc>
          <w:tcPr>
            <w:tcW w:w="1800" w:type="dxa"/>
          </w:tcPr>
          <w:p w14:paraId="75DB12C8" w14:textId="77777777" w:rsidR="00845E52" w:rsidRDefault="000E5577">
            <w:pPr>
              <w:jc w:val="right"/>
            </w:pPr>
            <w:r>
              <w:rPr>
                <w:sz w:val="20"/>
              </w:rPr>
              <w:t>-</w:t>
            </w:r>
          </w:p>
        </w:tc>
        <w:tc>
          <w:tcPr>
            <w:tcW w:w="1872" w:type="dxa"/>
          </w:tcPr>
          <w:p w14:paraId="706C68EE" w14:textId="77777777" w:rsidR="00845E52" w:rsidRDefault="000E5577">
            <w:pPr>
              <w:jc w:val="right"/>
            </w:pPr>
            <w:r>
              <w:rPr>
                <w:sz w:val="20"/>
              </w:rPr>
              <w:t>400</w:t>
            </w:r>
          </w:p>
        </w:tc>
      </w:tr>
      <w:tr w:rsidR="00845E52" w14:paraId="77CD62E1" w14:textId="77777777">
        <w:tc>
          <w:tcPr>
            <w:tcW w:w="3744" w:type="dxa"/>
          </w:tcPr>
          <w:p w14:paraId="1A9F7963" w14:textId="77777777" w:rsidR="00845E52" w:rsidRDefault="000E5577">
            <w:r>
              <w:rPr>
                <w:sz w:val="20"/>
              </w:rPr>
              <w:t>Easements</w:t>
            </w:r>
          </w:p>
        </w:tc>
        <w:tc>
          <w:tcPr>
            <w:tcW w:w="1800" w:type="dxa"/>
          </w:tcPr>
          <w:p w14:paraId="73008D80" w14:textId="77777777" w:rsidR="00845E52" w:rsidRDefault="000E5577">
            <w:pPr>
              <w:jc w:val="right"/>
            </w:pPr>
            <w:r>
              <w:rPr>
                <w:sz w:val="20"/>
              </w:rPr>
              <w:t>-</w:t>
            </w:r>
          </w:p>
        </w:tc>
        <w:tc>
          <w:tcPr>
            <w:tcW w:w="1872" w:type="dxa"/>
          </w:tcPr>
          <w:p w14:paraId="77414CBA" w14:textId="77777777" w:rsidR="00845E52" w:rsidRDefault="000E5577">
            <w:pPr>
              <w:jc w:val="right"/>
            </w:pPr>
            <w:r>
              <w:rPr>
                <w:sz w:val="20"/>
              </w:rPr>
              <w:t>-</w:t>
            </w:r>
          </w:p>
        </w:tc>
        <w:tc>
          <w:tcPr>
            <w:tcW w:w="1800" w:type="dxa"/>
          </w:tcPr>
          <w:p w14:paraId="1F2964B2" w14:textId="77777777" w:rsidR="00845E52" w:rsidRDefault="000E5577">
            <w:pPr>
              <w:jc w:val="right"/>
            </w:pPr>
            <w:r>
              <w:rPr>
                <w:sz w:val="20"/>
              </w:rPr>
              <w:t>0</w:t>
            </w:r>
          </w:p>
        </w:tc>
        <w:tc>
          <w:tcPr>
            <w:tcW w:w="1872" w:type="dxa"/>
          </w:tcPr>
          <w:p w14:paraId="1208D483" w14:textId="77777777" w:rsidR="00845E52" w:rsidRDefault="000E5577">
            <w:pPr>
              <w:jc w:val="right"/>
            </w:pPr>
            <w:r>
              <w:rPr>
                <w:sz w:val="20"/>
              </w:rPr>
              <w:t>0</w:t>
            </w:r>
          </w:p>
        </w:tc>
      </w:tr>
      <w:tr w:rsidR="00845E52" w14:paraId="0B559662" w14:textId="77777777">
        <w:tc>
          <w:tcPr>
            <w:tcW w:w="3744" w:type="dxa"/>
            <w:shd w:val="clear" w:color="auto" w:fill="EEEEEE"/>
          </w:tcPr>
          <w:p w14:paraId="1D5741E9" w14:textId="77777777" w:rsidR="00845E52" w:rsidRDefault="000E5577">
            <w:r>
              <w:rPr>
                <w:b/>
                <w:color w:val="000000"/>
                <w:sz w:val="20"/>
              </w:rPr>
              <w:t>Total</w:t>
            </w:r>
          </w:p>
        </w:tc>
        <w:tc>
          <w:tcPr>
            <w:tcW w:w="1800" w:type="dxa"/>
            <w:shd w:val="clear" w:color="auto" w:fill="EEEEEE"/>
          </w:tcPr>
          <w:p w14:paraId="378837F9" w14:textId="77777777" w:rsidR="00845E52" w:rsidRDefault="000E5577">
            <w:pPr>
              <w:jc w:val="right"/>
            </w:pPr>
            <w:r>
              <w:rPr>
                <w:b/>
                <w:color w:val="000000"/>
                <w:sz w:val="20"/>
              </w:rPr>
              <w:t>-</w:t>
            </w:r>
          </w:p>
        </w:tc>
        <w:tc>
          <w:tcPr>
            <w:tcW w:w="1872" w:type="dxa"/>
            <w:shd w:val="clear" w:color="auto" w:fill="EEEEEE"/>
          </w:tcPr>
          <w:p w14:paraId="7FD82B5D" w14:textId="77777777" w:rsidR="00845E52" w:rsidRDefault="000E5577">
            <w:pPr>
              <w:jc w:val="right"/>
            </w:pPr>
            <w:r>
              <w:rPr>
                <w:b/>
                <w:color w:val="000000"/>
                <w:sz w:val="20"/>
              </w:rPr>
              <w:t>600</w:t>
            </w:r>
          </w:p>
        </w:tc>
        <w:tc>
          <w:tcPr>
            <w:tcW w:w="1800" w:type="dxa"/>
            <w:shd w:val="clear" w:color="auto" w:fill="EEEEEE"/>
          </w:tcPr>
          <w:p w14:paraId="23047BCF" w14:textId="77777777" w:rsidR="00845E52" w:rsidRDefault="000E5577">
            <w:pPr>
              <w:jc w:val="right"/>
            </w:pPr>
            <w:r>
              <w:rPr>
                <w:b/>
                <w:color w:val="000000"/>
                <w:sz w:val="20"/>
              </w:rPr>
              <w:t>0</w:t>
            </w:r>
          </w:p>
        </w:tc>
        <w:tc>
          <w:tcPr>
            <w:tcW w:w="1872" w:type="dxa"/>
            <w:shd w:val="clear" w:color="auto" w:fill="EEEEEE"/>
          </w:tcPr>
          <w:p w14:paraId="7E0E72C3" w14:textId="77777777" w:rsidR="00845E52" w:rsidRDefault="000E5577">
            <w:pPr>
              <w:jc w:val="right"/>
            </w:pPr>
            <w:r>
              <w:rPr>
                <w:b/>
                <w:color w:val="000000"/>
                <w:sz w:val="20"/>
              </w:rPr>
              <w:t>400</w:t>
            </w:r>
          </w:p>
        </w:tc>
      </w:tr>
    </w:tbl>
    <w:p w14:paraId="6D76E4AC" w14:textId="77777777" w:rsidR="00845E52" w:rsidRDefault="000E5577">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845E52" w14:paraId="6B280A76" w14:textId="77777777">
        <w:tc>
          <w:tcPr>
            <w:tcW w:w="3600" w:type="dxa"/>
            <w:shd w:val="clear" w:color="auto" w:fill="AFC4E9"/>
          </w:tcPr>
          <w:p w14:paraId="052F87BC" w14:textId="77777777" w:rsidR="00845E52" w:rsidRDefault="000E5577">
            <w:r>
              <w:rPr>
                <w:b/>
                <w:color w:val="000000"/>
                <w:sz w:val="20"/>
              </w:rPr>
              <w:t>Type</w:t>
            </w:r>
          </w:p>
        </w:tc>
        <w:tc>
          <w:tcPr>
            <w:tcW w:w="1440" w:type="dxa"/>
            <w:shd w:val="clear" w:color="auto" w:fill="AFC4E9"/>
          </w:tcPr>
          <w:p w14:paraId="0B76E47B" w14:textId="77777777" w:rsidR="00845E52" w:rsidRDefault="000E5577">
            <w:r>
              <w:rPr>
                <w:b/>
                <w:color w:val="000000"/>
                <w:sz w:val="20"/>
              </w:rPr>
              <w:t>Native Prairie (acres)</w:t>
            </w:r>
          </w:p>
        </w:tc>
      </w:tr>
      <w:tr w:rsidR="00845E52" w14:paraId="73DBD94B" w14:textId="77777777">
        <w:tc>
          <w:tcPr>
            <w:tcW w:w="3600" w:type="dxa"/>
          </w:tcPr>
          <w:p w14:paraId="7A265184" w14:textId="77777777" w:rsidR="00845E52" w:rsidRDefault="000E5577">
            <w:r>
              <w:rPr>
                <w:sz w:val="20"/>
              </w:rPr>
              <w:t>Restore</w:t>
            </w:r>
          </w:p>
        </w:tc>
        <w:tc>
          <w:tcPr>
            <w:tcW w:w="1440" w:type="dxa"/>
          </w:tcPr>
          <w:p w14:paraId="2B123083" w14:textId="77777777" w:rsidR="00845E52" w:rsidRDefault="000E5577">
            <w:pPr>
              <w:jc w:val="right"/>
            </w:pPr>
            <w:r>
              <w:rPr>
                <w:sz w:val="20"/>
              </w:rPr>
              <w:t>0</w:t>
            </w:r>
          </w:p>
        </w:tc>
      </w:tr>
      <w:tr w:rsidR="00845E52" w14:paraId="7EECF3AD" w14:textId="77777777">
        <w:tc>
          <w:tcPr>
            <w:tcW w:w="3600" w:type="dxa"/>
          </w:tcPr>
          <w:p w14:paraId="542C0BEE" w14:textId="77777777" w:rsidR="00845E52" w:rsidRDefault="000E5577">
            <w:r>
              <w:rPr>
                <w:sz w:val="20"/>
              </w:rPr>
              <w:t>Protect in Fee with State PILT Liability</w:t>
            </w:r>
          </w:p>
        </w:tc>
        <w:tc>
          <w:tcPr>
            <w:tcW w:w="1440" w:type="dxa"/>
          </w:tcPr>
          <w:p w14:paraId="38D282B4" w14:textId="77777777" w:rsidR="00845E52" w:rsidRDefault="000E5577">
            <w:pPr>
              <w:jc w:val="right"/>
            </w:pPr>
            <w:r>
              <w:rPr>
                <w:sz w:val="20"/>
              </w:rPr>
              <w:t>0</w:t>
            </w:r>
          </w:p>
        </w:tc>
      </w:tr>
      <w:tr w:rsidR="00845E52" w14:paraId="4A21A07B" w14:textId="77777777">
        <w:tc>
          <w:tcPr>
            <w:tcW w:w="3600" w:type="dxa"/>
          </w:tcPr>
          <w:p w14:paraId="634D2E34" w14:textId="77777777" w:rsidR="00845E52" w:rsidRDefault="000E5577">
            <w:r>
              <w:rPr>
                <w:sz w:val="20"/>
              </w:rPr>
              <w:t xml:space="preserve">Protect in </w:t>
            </w:r>
            <w:r>
              <w:rPr>
                <w:sz w:val="20"/>
              </w:rPr>
              <w:t>Fee w/o State PILT Liability</w:t>
            </w:r>
          </w:p>
        </w:tc>
        <w:tc>
          <w:tcPr>
            <w:tcW w:w="1440" w:type="dxa"/>
          </w:tcPr>
          <w:p w14:paraId="22F2728F" w14:textId="77777777" w:rsidR="00845E52" w:rsidRDefault="000E5577">
            <w:pPr>
              <w:jc w:val="right"/>
            </w:pPr>
            <w:r>
              <w:rPr>
                <w:sz w:val="20"/>
              </w:rPr>
              <w:t>0</w:t>
            </w:r>
          </w:p>
        </w:tc>
      </w:tr>
      <w:tr w:rsidR="00845E52" w14:paraId="235D25B5" w14:textId="77777777">
        <w:tc>
          <w:tcPr>
            <w:tcW w:w="3600" w:type="dxa"/>
          </w:tcPr>
          <w:p w14:paraId="071661EF" w14:textId="77777777" w:rsidR="00845E52" w:rsidRDefault="000E5577">
            <w:r>
              <w:rPr>
                <w:sz w:val="20"/>
              </w:rPr>
              <w:t>Protect in Easement</w:t>
            </w:r>
          </w:p>
        </w:tc>
        <w:tc>
          <w:tcPr>
            <w:tcW w:w="1440" w:type="dxa"/>
          </w:tcPr>
          <w:p w14:paraId="00B7B9BD" w14:textId="77777777" w:rsidR="00845E52" w:rsidRDefault="000E5577">
            <w:pPr>
              <w:jc w:val="right"/>
            </w:pPr>
            <w:r>
              <w:rPr>
                <w:sz w:val="20"/>
              </w:rPr>
              <w:t>0</w:t>
            </w:r>
          </w:p>
        </w:tc>
      </w:tr>
      <w:tr w:rsidR="00845E52" w14:paraId="11835D7B" w14:textId="77777777">
        <w:tc>
          <w:tcPr>
            <w:tcW w:w="3600" w:type="dxa"/>
          </w:tcPr>
          <w:p w14:paraId="477C6460" w14:textId="77777777" w:rsidR="00845E52" w:rsidRDefault="000E5577">
            <w:r>
              <w:rPr>
                <w:sz w:val="20"/>
              </w:rPr>
              <w:t>Enhance</w:t>
            </w:r>
          </w:p>
        </w:tc>
        <w:tc>
          <w:tcPr>
            <w:tcW w:w="1440" w:type="dxa"/>
          </w:tcPr>
          <w:p w14:paraId="0A239121" w14:textId="77777777" w:rsidR="00845E52" w:rsidRDefault="000E5577">
            <w:pPr>
              <w:jc w:val="right"/>
            </w:pPr>
            <w:r>
              <w:rPr>
                <w:sz w:val="20"/>
              </w:rPr>
              <w:t>50</w:t>
            </w:r>
          </w:p>
        </w:tc>
      </w:tr>
      <w:tr w:rsidR="00845E52" w14:paraId="3711DDBB" w14:textId="77777777">
        <w:tc>
          <w:tcPr>
            <w:tcW w:w="3600" w:type="dxa"/>
            <w:shd w:val="clear" w:color="auto" w:fill="EEEEEE"/>
          </w:tcPr>
          <w:p w14:paraId="77A5FDE3" w14:textId="77777777" w:rsidR="00845E52" w:rsidRDefault="000E5577">
            <w:r>
              <w:rPr>
                <w:b/>
                <w:color w:val="000000"/>
                <w:sz w:val="20"/>
              </w:rPr>
              <w:t>Total</w:t>
            </w:r>
          </w:p>
        </w:tc>
        <w:tc>
          <w:tcPr>
            <w:tcW w:w="1440" w:type="dxa"/>
            <w:shd w:val="clear" w:color="auto" w:fill="EEEEEE"/>
          </w:tcPr>
          <w:p w14:paraId="3609F53C" w14:textId="77777777" w:rsidR="00845E52" w:rsidRDefault="000E5577">
            <w:pPr>
              <w:jc w:val="right"/>
            </w:pPr>
            <w:r>
              <w:rPr>
                <w:b/>
                <w:color w:val="000000"/>
                <w:sz w:val="20"/>
              </w:rPr>
              <w:t>50</w:t>
            </w:r>
          </w:p>
        </w:tc>
      </w:tr>
    </w:tbl>
    <w:p w14:paraId="43742E18" w14:textId="77777777" w:rsidR="00845E52" w:rsidRDefault="000E5577">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1"/>
        <w:gridCol w:w="1402"/>
        <w:gridCol w:w="1423"/>
        <w:gridCol w:w="1409"/>
        <w:gridCol w:w="1423"/>
        <w:gridCol w:w="1752"/>
      </w:tblGrid>
      <w:tr w:rsidR="00845E52" w14:paraId="28B1E565" w14:textId="77777777">
        <w:tc>
          <w:tcPr>
            <w:tcW w:w="3600" w:type="dxa"/>
            <w:shd w:val="clear" w:color="auto" w:fill="AFC4E9"/>
          </w:tcPr>
          <w:p w14:paraId="5B191C6B" w14:textId="77777777" w:rsidR="00845E52" w:rsidRDefault="000E5577">
            <w:r>
              <w:rPr>
                <w:b/>
                <w:color w:val="000000"/>
                <w:sz w:val="20"/>
              </w:rPr>
              <w:t>Type</w:t>
            </w:r>
          </w:p>
        </w:tc>
        <w:tc>
          <w:tcPr>
            <w:tcW w:w="1440" w:type="dxa"/>
            <w:shd w:val="clear" w:color="auto" w:fill="AFC4E9"/>
          </w:tcPr>
          <w:p w14:paraId="6D641C92" w14:textId="77777777" w:rsidR="00845E52" w:rsidRDefault="000E5577">
            <w:r>
              <w:rPr>
                <w:b/>
                <w:color w:val="000000"/>
                <w:sz w:val="20"/>
              </w:rPr>
              <w:t>Wetland</w:t>
            </w:r>
          </w:p>
        </w:tc>
        <w:tc>
          <w:tcPr>
            <w:tcW w:w="1440" w:type="dxa"/>
            <w:shd w:val="clear" w:color="auto" w:fill="AFC4E9"/>
          </w:tcPr>
          <w:p w14:paraId="34A8F5DD" w14:textId="77777777" w:rsidR="00845E52" w:rsidRDefault="000E5577">
            <w:r>
              <w:rPr>
                <w:b/>
                <w:color w:val="000000"/>
                <w:sz w:val="20"/>
              </w:rPr>
              <w:t>Prairie</w:t>
            </w:r>
          </w:p>
        </w:tc>
        <w:tc>
          <w:tcPr>
            <w:tcW w:w="1440" w:type="dxa"/>
            <w:shd w:val="clear" w:color="auto" w:fill="AFC4E9"/>
          </w:tcPr>
          <w:p w14:paraId="50ECFD9F" w14:textId="77777777" w:rsidR="00845E52" w:rsidRDefault="000E5577">
            <w:r>
              <w:rPr>
                <w:b/>
                <w:color w:val="000000"/>
                <w:sz w:val="20"/>
              </w:rPr>
              <w:t>Forest</w:t>
            </w:r>
          </w:p>
        </w:tc>
        <w:tc>
          <w:tcPr>
            <w:tcW w:w="1440" w:type="dxa"/>
            <w:shd w:val="clear" w:color="auto" w:fill="AFC4E9"/>
          </w:tcPr>
          <w:p w14:paraId="2ECA8A8A" w14:textId="77777777" w:rsidR="00845E52" w:rsidRDefault="000E5577">
            <w:r>
              <w:rPr>
                <w:b/>
                <w:color w:val="000000"/>
                <w:sz w:val="20"/>
              </w:rPr>
              <w:t>Habitat</w:t>
            </w:r>
          </w:p>
        </w:tc>
        <w:tc>
          <w:tcPr>
            <w:tcW w:w="1800" w:type="dxa"/>
            <w:shd w:val="clear" w:color="auto" w:fill="AFC4E9"/>
          </w:tcPr>
          <w:p w14:paraId="2B319871" w14:textId="77777777" w:rsidR="00845E52" w:rsidRDefault="000E5577">
            <w:r>
              <w:rPr>
                <w:b/>
                <w:color w:val="000000"/>
                <w:sz w:val="20"/>
              </w:rPr>
              <w:t>Total Funding</w:t>
            </w:r>
          </w:p>
        </w:tc>
      </w:tr>
      <w:tr w:rsidR="00845E52" w14:paraId="7957B57A" w14:textId="77777777">
        <w:tc>
          <w:tcPr>
            <w:tcW w:w="3600" w:type="dxa"/>
          </w:tcPr>
          <w:p w14:paraId="4BBA0BF6" w14:textId="77777777" w:rsidR="00845E52" w:rsidRDefault="000E5577">
            <w:r>
              <w:rPr>
                <w:sz w:val="20"/>
              </w:rPr>
              <w:t>Restore</w:t>
            </w:r>
          </w:p>
        </w:tc>
        <w:tc>
          <w:tcPr>
            <w:tcW w:w="1440" w:type="dxa"/>
          </w:tcPr>
          <w:p w14:paraId="3B69C604" w14:textId="77777777" w:rsidR="00845E52" w:rsidRDefault="000E5577">
            <w:pPr>
              <w:jc w:val="right"/>
            </w:pPr>
            <w:r>
              <w:rPr>
                <w:sz w:val="20"/>
              </w:rPr>
              <w:t>-</w:t>
            </w:r>
          </w:p>
        </w:tc>
        <w:tc>
          <w:tcPr>
            <w:tcW w:w="1440" w:type="dxa"/>
          </w:tcPr>
          <w:p w14:paraId="63DE65A3" w14:textId="77777777" w:rsidR="00845E52" w:rsidRDefault="000E5577">
            <w:pPr>
              <w:jc w:val="right"/>
            </w:pPr>
            <w:r>
              <w:rPr>
                <w:sz w:val="20"/>
              </w:rPr>
              <w:t>$810,100</w:t>
            </w:r>
          </w:p>
        </w:tc>
        <w:tc>
          <w:tcPr>
            <w:tcW w:w="1440" w:type="dxa"/>
          </w:tcPr>
          <w:p w14:paraId="65EE046A" w14:textId="77777777" w:rsidR="00845E52" w:rsidRDefault="000E5577">
            <w:pPr>
              <w:jc w:val="right"/>
            </w:pPr>
            <w:r>
              <w:rPr>
                <w:sz w:val="20"/>
              </w:rPr>
              <w:t>$713,100</w:t>
            </w:r>
          </w:p>
        </w:tc>
        <w:tc>
          <w:tcPr>
            <w:tcW w:w="1440" w:type="dxa"/>
          </w:tcPr>
          <w:p w14:paraId="772C4D6A" w14:textId="77777777" w:rsidR="00845E52" w:rsidRDefault="000E5577">
            <w:pPr>
              <w:jc w:val="right"/>
            </w:pPr>
            <w:r>
              <w:rPr>
                <w:sz w:val="20"/>
              </w:rPr>
              <w:t>$1,300,000</w:t>
            </w:r>
          </w:p>
        </w:tc>
        <w:tc>
          <w:tcPr>
            <w:tcW w:w="1800" w:type="dxa"/>
          </w:tcPr>
          <w:p w14:paraId="79A2E5D2" w14:textId="77777777" w:rsidR="00845E52" w:rsidRDefault="000E5577">
            <w:pPr>
              <w:jc w:val="right"/>
            </w:pPr>
            <w:r>
              <w:rPr>
                <w:sz w:val="20"/>
              </w:rPr>
              <w:t>$2,823,200</w:t>
            </w:r>
          </w:p>
        </w:tc>
      </w:tr>
      <w:tr w:rsidR="00845E52" w14:paraId="75B60D7F" w14:textId="77777777">
        <w:tc>
          <w:tcPr>
            <w:tcW w:w="3600" w:type="dxa"/>
          </w:tcPr>
          <w:p w14:paraId="34DA03D4" w14:textId="77777777" w:rsidR="00845E52" w:rsidRDefault="000E5577">
            <w:r>
              <w:rPr>
                <w:sz w:val="20"/>
              </w:rPr>
              <w:t xml:space="preserve">Protect in Fee with </w:t>
            </w:r>
            <w:r>
              <w:rPr>
                <w:sz w:val="20"/>
              </w:rPr>
              <w:t>State PILT Liability</w:t>
            </w:r>
          </w:p>
        </w:tc>
        <w:tc>
          <w:tcPr>
            <w:tcW w:w="1440" w:type="dxa"/>
          </w:tcPr>
          <w:p w14:paraId="2AD1B542" w14:textId="77777777" w:rsidR="00845E52" w:rsidRDefault="000E5577">
            <w:pPr>
              <w:jc w:val="right"/>
            </w:pPr>
            <w:r>
              <w:rPr>
                <w:sz w:val="20"/>
              </w:rPr>
              <w:t>-</w:t>
            </w:r>
          </w:p>
        </w:tc>
        <w:tc>
          <w:tcPr>
            <w:tcW w:w="1440" w:type="dxa"/>
          </w:tcPr>
          <w:p w14:paraId="4A236544" w14:textId="77777777" w:rsidR="00845E52" w:rsidRDefault="000E5577">
            <w:pPr>
              <w:jc w:val="right"/>
            </w:pPr>
            <w:r>
              <w:rPr>
                <w:sz w:val="20"/>
              </w:rPr>
              <w:t>-</w:t>
            </w:r>
          </w:p>
        </w:tc>
        <w:tc>
          <w:tcPr>
            <w:tcW w:w="1440" w:type="dxa"/>
          </w:tcPr>
          <w:p w14:paraId="4AF0B5B3" w14:textId="77777777" w:rsidR="00845E52" w:rsidRDefault="000E5577">
            <w:pPr>
              <w:jc w:val="right"/>
            </w:pPr>
            <w:r>
              <w:rPr>
                <w:sz w:val="20"/>
              </w:rPr>
              <w:t>-</w:t>
            </w:r>
          </w:p>
        </w:tc>
        <w:tc>
          <w:tcPr>
            <w:tcW w:w="1440" w:type="dxa"/>
          </w:tcPr>
          <w:p w14:paraId="0F775F42" w14:textId="77777777" w:rsidR="00845E52" w:rsidRDefault="000E5577">
            <w:pPr>
              <w:jc w:val="right"/>
            </w:pPr>
            <w:r>
              <w:rPr>
                <w:sz w:val="20"/>
              </w:rPr>
              <w:t>-</w:t>
            </w:r>
          </w:p>
        </w:tc>
        <w:tc>
          <w:tcPr>
            <w:tcW w:w="1800" w:type="dxa"/>
          </w:tcPr>
          <w:p w14:paraId="718E2889" w14:textId="77777777" w:rsidR="00845E52" w:rsidRDefault="000E5577">
            <w:pPr>
              <w:jc w:val="right"/>
            </w:pPr>
            <w:r>
              <w:rPr>
                <w:sz w:val="20"/>
              </w:rPr>
              <w:t>-</w:t>
            </w:r>
          </w:p>
        </w:tc>
      </w:tr>
      <w:tr w:rsidR="00845E52" w14:paraId="1FD7CC96" w14:textId="77777777">
        <w:tc>
          <w:tcPr>
            <w:tcW w:w="3600" w:type="dxa"/>
          </w:tcPr>
          <w:p w14:paraId="6430B98B" w14:textId="77777777" w:rsidR="00845E52" w:rsidRDefault="000E5577">
            <w:r>
              <w:rPr>
                <w:sz w:val="20"/>
              </w:rPr>
              <w:t>Protect in Fee w/o State PILT Liability</w:t>
            </w:r>
          </w:p>
        </w:tc>
        <w:tc>
          <w:tcPr>
            <w:tcW w:w="1440" w:type="dxa"/>
          </w:tcPr>
          <w:p w14:paraId="3C4B05CD" w14:textId="77777777" w:rsidR="00845E52" w:rsidRDefault="000E5577">
            <w:pPr>
              <w:jc w:val="right"/>
            </w:pPr>
            <w:r>
              <w:rPr>
                <w:sz w:val="20"/>
              </w:rPr>
              <w:t>-</w:t>
            </w:r>
          </w:p>
        </w:tc>
        <w:tc>
          <w:tcPr>
            <w:tcW w:w="1440" w:type="dxa"/>
          </w:tcPr>
          <w:p w14:paraId="252A706D" w14:textId="77777777" w:rsidR="00845E52" w:rsidRDefault="000E5577">
            <w:pPr>
              <w:jc w:val="right"/>
            </w:pPr>
            <w:r>
              <w:rPr>
                <w:sz w:val="20"/>
              </w:rPr>
              <w:t>-</w:t>
            </w:r>
          </w:p>
        </w:tc>
        <w:tc>
          <w:tcPr>
            <w:tcW w:w="1440" w:type="dxa"/>
          </w:tcPr>
          <w:p w14:paraId="6827CF1A" w14:textId="77777777" w:rsidR="00845E52" w:rsidRDefault="000E5577">
            <w:pPr>
              <w:jc w:val="right"/>
            </w:pPr>
            <w:r>
              <w:rPr>
                <w:sz w:val="20"/>
              </w:rPr>
              <w:t>-</w:t>
            </w:r>
          </w:p>
        </w:tc>
        <w:tc>
          <w:tcPr>
            <w:tcW w:w="1440" w:type="dxa"/>
          </w:tcPr>
          <w:p w14:paraId="5A40F98D" w14:textId="77777777" w:rsidR="00845E52" w:rsidRDefault="000E5577">
            <w:pPr>
              <w:jc w:val="right"/>
            </w:pPr>
            <w:r>
              <w:rPr>
                <w:sz w:val="20"/>
              </w:rPr>
              <w:t>-</w:t>
            </w:r>
          </w:p>
        </w:tc>
        <w:tc>
          <w:tcPr>
            <w:tcW w:w="1800" w:type="dxa"/>
          </w:tcPr>
          <w:p w14:paraId="09B27FA7" w14:textId="77777777" w:rsidR="00845E52" w:rsidRDefault="000E5577">
            <w:pPr>
              <w:jc w:val="right"/>
            </w:pPr>
            <w:r>
              <w:rPr>
                <w:sz w:val="20"/>
              </w:rPr>
              <w:t>-</w:t>
            </w:r>
          </w:p>
        </w:tc>
      </w:tr>
      <w:tr w:rsidR="00845E52" w14:paraId="46DE544E" w14:textId="77777777">
        <w:tc>
          <w:tcPr>
            <w:tcW w:w="3600" w:type="dxa"/>
          </w:tcPr>
          <w:p w14:paraId="34D062B2" w14:textId="77777777" w:rsidR="00845E52" w:rsidRDefault="000E5577">
            <w:r>
              <w:rPr>
                <w:sz w:val="20"/>
              </w:rPr>
              <w:t>Protect in Easement</w:t>
            </w:r>
          </w:p>
        </w:tc>
        <w:tc>
          <w:tcPr>
            <w:tcW w:w="1440" w:type="dxa"/>
          </w:tcPr>
          <w:p w14:paraId="39671617" w14:textId="77777777" w:rsidR="00845E52" w:rsidRDefault="000E5577">
            <w:pPr>
              <w:jc w:val="right"/>
            </w:pPr>
            <w:r>
              <w:rPr>
                <w:sz w:val="20"/>
              </w:rPr>
              <w:t>-</w:t>
            </w:r>
          </w:p>
        </w:tc>
        <w:tc>
          <w:tcPr>
            <w:tcW w:w="1440" w:type="dxa"/>
          </w:tcPr>
          <w:p w14:paraId="42C73883" w14:textId="77777777" w:rsidR="00845E52" w:rsidRDefault="000E5577">
            <w:pPr>
              <w:jc w:val="right"/>
            </w:pPr>
            <w:r>
              <w:rPr>
                <w:sz w:val="20"/>
              </w:rPr>
              <w:t>-</w:t>
            </w:r>
          </w:p>
        </w:tc>
        <w:tc>
          <w:tcPr>
            <w:tcW w:w="1440" w:type="dxa"/>
          </w:tcPr>
          <w:p w14:paraId="6FCFD05B" w14:textId="77777777" w:rsidR="00845E52" w:rsidRDefault="000E5577">
            <w:pPr>
              <w:jc w:val="right"/>
            </w:pPr>
            <w:r>
              <w:rPr>
                <w:sz w:val="20"/>
              </w:rPr>
              <w:t>-</w:t>
            </w:r>
          </w:p>
        </w:tc>
        <w:tc>
          <w:tcPr>
            <w:tcW w:w="1440" w:type="dxa"/>
          </w:tcPr>
          <w:p w14:paraId="127919F0" w14:textId="77777777" w:rsidR="00845E52" w:rsidRDefault="000E5577">
            <w:pPr>
              <w:jc w:val="right"/>
            </w:pPr>
            <w:r>
              <w:rPr>
                <w:sz w:val="20"/>
              </w:rPr>
              <w:t>-</w:t>
            </w:r>
          </w:p>
        </w:tc>
        <w:tc>
          <w:tcPr>
            <w:tcW w:w="1800" w:type="dxa"/>
          </w:tcPr>
          <w:p w14:paraId="4AE4CECC" w14:textId="77777777" w:rsidR="00845E52" w:rsidRDefault="000E5577">
            <w:pPr>
              <w:jc w:val="right"/>
            </w:pPr>
            <w:r>
              <w:rPr>
                <w:sz w:val="20"/>
              </w:rPr>
              <w:t>-</w:t>
            </w:r>
          </w:p>
        </w:tc>
      </w:tr>
      <w:tr w:rsidR="00845E52" w14:paraId="7B06117F" w14:textId="77777777">
        <w:tc>
          <w:tcPr>
            <w:tcW w:w="3600" w:type="dxa"/>
          </w:tcPr>
          <w:p w14:paraId="5A551943" w14:textId="77777777" w:rsidR="00845E52" w:rsidRDefault="000E5577">
            <w:r>
              <w:rPr>
                <w:sz w:val="20"/>
              </w:rPr>
              <w:t>Enhance</w:t>
            </w:r>
          </w:p>
        </w:tc>
        <w:tc>
          <w:tcPr>
            <w:tcW w:w="1440" w:type="dxa"/>
          </w:tcPr>
          <w:p w14:paraId="0DB712E2" w14:textId="77777777" w:rsidR="00845E52" w:rsidRDefault="000E5577">
            <w:pPr>
              <w:jc w:val="right"/>
            </w:pPr>
            <w:r>
              <w:rPr>
                <w:sz w:val="20"/>
              </w:rPr>
              <w:t>-</w:t>
            </w:r>
          </w:p>
        </w:tc>
        <w:tc>
          <w:tcPr>
            <w:tcW w:w="1440" w:type="dxa"/>
          </w:tcPr>
          <w:p w14:paraId="435C1F06" w14:textId="77777777" w:rsidR="00845E52" w:rsidRDefault="000E5577">
            <w:pPr>
              <w:jc w:val="right"/>
            </w:pPr>
            <w:r>
              <w:rPr>
                <w:sz w:val="20"/>
              </w:rPr>
              <w:t>$215,000</w:t>
            </w:r>
          </w:p>
        </w:tc>
        <w:tc>
          <w:tcPr>
            <w:tcW w:w="1440" w:type="dxa"/>
          </w:tcPr>
          <w:p w14:paraId="401F087D" w14:textId="77777777" w:rsidR="00845E52" w:rsidRDefault="000E5577">
            <w:pPr>
              <w:jc w:val="right"/>
            </w:pPr>
            <w:r>
              <w:rPr>
                <w:sz w:val="20"/>
              </w:rPr>
              <w:t>$200,000</w:t>
            </w:r>
          </w:p>
        </w:tc>
        <w:tc>
          <w:tcPr>
            <w:tcW w:w="1440" w:type="dxa"/>
          </w:tcPr>
          <w:p w14:paraId="01957F0D" w14:textId="77777777" w:rsidR="00845E52" w:rsidRDefault="000E5577">
            <w:pPr>
              <w:jc w:val="right"/>
            </w:pPr>
            <w:r>
              <w:rPr>
                <w:sz w:val="20"/>
              </w:rPr>
              <w:t>$385,000</w:t>
            </w:r>
          </w:p>
        </w:tc>
        <w:tc>
          <w:tcPr>
            <w:tcW w:w="1800" w:type="dxa"/>
          </w:tcPr>
          <w:p w14:paraId="5F37CED1" w14:textId="77777777" w:rsidR="00845E52" w:rsidRDefault="000E5577">
            <w:pPr>
              <w:jc w:val="right"/>
            </w:pPr>
            <w:r>
              <w:rPr>
                <w:sz w:val="20"/>
              </w:rPr>
              <w:t>$800,000</w:t>
            </w:r>
          </w:p>
        </w:tc>
      </w:tr>
      <w:tr w:rsidR="00845E52" w14:paraId="7CA2C2F2" w14:textId="77777777">
        <w:tc>
          <w:tcPr>
            <w:tcW w:w="3600" w:type="dxa"/>
            <w:shd w:val="clear" w:color="auto" w:fill="EEEEEE"/>
          </w:tcPr>
          <w:p w14:paraId="32DA3E2F" w14:textId="77777777" w:rsidR="00845E52" w:rsidRDefault="000E5577">
            <w:r>
              <w:rPr>
                <w:b/>
                <w:color w:val="000000"/>
                <w:sz w:val="20"/>
              </w:rPr>
              <w:t>Total</w:t>
            </w:r>
          </w:p>
        </w:tc>
        <w:tc>
          <w:tcPr>
            <w:tcW w:w="1440" w:type="dxa"/>
            <w:shd w:val="clear" w:color="auto" w:fill="EEEEEE"/>
          </w:tcPr>
          <w:p w14:paraId="79904D17" w14:textId="77777777" w:rsidR="00845E52" w:rsidRDefault="000E5577">
            <w:pPr>
              <w:jc w:val="right"/>
            </w:pPr>
            <w:r>
              <w:rPr>
                <w:b/>
                <w:color w:val="000000"/>
                <w:sz w:val="20"/>
              </w:rPr>
              <w:t>-</w:t>
            </w:r>
          </w:p>
        </w:tc>
        <w:tc>
          <w:tcPr>
            <w:tcW w:w="1440" w:type="dxa"/>
            <w:shd w:val="clear" w:color="auto" w:fill="EEEEEE"/>
          </w:tcPr>
          <w:p w14:paraId="2FEA5827" w14:textId="77777777" w:rsidR="00845E52" w:rsidRDefault="000E5577">
            <w:pPr>
              <w:jc w:val="right"/>
            </w:pPr>
            <w:r>
              <w:rPr>
                <w:b/>
                <w:color w:val="000000"/>
                <w:sz w:val="20"/>
              </w:rPr>
              <w:t>$1,025,100</w:t>
            </w:r>
          </w:p>
        </w:tc>
        <w:tc>
          <w:tcPr>
            <w:tcW w:w="1440" w:type="dxa"/>
            <w:shd w:val="clear" w:color="auto" w:fill="EEEEEE"/>
          </w:tcPr>
          <w:p w14:paraId="4C44A01E" w14:textId="77777777" w:rsidR="00845E52" w:rsidRDefault="000E5577">
            <w:pPr>
              <w:jc w:val="right"/>
            </w:pPr>
            <w:r>
              <w:rPr>
                <w:b/>
                <w:color w:val="000000"/>
                <w:sz w:val="20"/>
              </w:rPr>
              <w:t>$913,100</w:t>
            </w:r>
          </w:p>
        </w:tc>
        <w:tc>
          <w:tcPr>
            <w:tcW w:w="1440" w:type="dxa"/>
            <w:shd w:val="clear" w:color="auto" w:fill="EEEEEE"/>
          </w:tcPr>
          <w:p w14:paraId="7FBF7177" w14:textId="77777777" w:rsidR="00845E52" w:rsidRDefault="000E5577">
            <w:pPr>
              <w:jc w:val="right"/>
            </w:pPr>
            <w:r>
              <w:rPr>
                <w:b/>
                <w:color w:val="000000"/>
                <w:sz w:val="20"/>
              </w:rPr>
              <w:t>$1,685,000</w:t>
            </w:r>
          </w:p>
        </w:tc>
        <w:tc>
          <w:tcPr>
            <w:tcW w:w="1800" w:type="dxa"/>
            <w:shd w:val="clear" w:color="auto" w:fill="EEEEEE"/>
          </w:tcPr>
          <w:p w14:paraId="6E70E8E0" w14:textId="77777777" w:rsidR="00845E52" w:rsidRDefault="000E5577">
            <w:pPr>
              <w:jc w:val="right"/>
            </w:pPr>
            <w:r>
              <w:rPr>
                <w:b/>
                <w:color w:val="000000"/>
                <w:sz w:val="20"/>
              </w:rPr>
              <w:t>$3,623,200</w:t>
            </w:r>
          </w:p>
        </w:tc>
      </w:tr>
    </w:tbl>
    <w:p w14:paraId="0B1DBB93" w14:textId="77777777" w:rsidR="00845E52" w:rsidRDefault="000E5577">
      <w:pPr>
        <w:pStyle w:val="Heading3"/>
        <w:spacing w:before="60" w:after="80"/>
      </w:pPr>
      <w:r>
        <w:rPr>
          <w:color w:val="254885"/>
          <w:sz w:val="26"/>
        </w:rPr>
        <w:t xml:space="preserve">Acres within each Ecological Section </w:t>
      </w:r>
      <w:r>
        <w:rPr>
          <w:color w:val="254885"/>
          <w:sz w:val="26"/>
        </w:rPr>
        <w:t>(Table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845E52" w14:paraId="3B9636FB" w14:textId="77777777">
        <w:tc>
          <w:tcPr>
            <w:tcW w:w="2880" w:type="dxa"/>
            <w:shd w:val="clear" w:color="auto" w:fill="AFC4E9"/>
          </w:tcPr>
          <w:p w14:paraId="0EB19B0C" w14:textId="77777777" w:rsidR="00845E52" w:rsidRDefault="000E5577">
            <w:r>
              <w:rPr>
                <w:b/>
                <w:color w:val="000000"/>
                <w:sz w:val="20"/>
              </w:rPr>
              <w:t>Type</w:t>
            </w:r>
          </w:p>
        </w:tc>
        <w:tc>
          <w:tcPr>
            <w:tcW w:w="1440" w:type="dxa"/>
            <w:shd w:val="clear" w:color="auto" w:fill="AFC4E9"/>
          </w:tcPr>
          <w:p w14:paraId="4E95C804" w14:textId="77777777" w:rsidR="00845E52" w:rsidRDefault="000E5577">
            <w:r>
              <w:rPr>
                <w:b/>
                <w:color w:val="000000"/>
                <w:sz w:val="20"/>
              </w:rPr>
              <w:t>Metro/Urban</w:t>
            </w:r>
          </w:p>
        </w:tc>
        <w:tc>
          <w:tcPr>
            <w:tcW w:w="1440" w:type="dxa"/>
            <w:shd w:val="clear" w:color="auto" w:fill="AFC4E9"/>
          </w:tcPr>
          <w:p w14:paraId="6327252E" w14:textId="77777777" w:rsidR="00845E52" w:rsidRDefault="000E5577">
            <w:r>
              <w:rPr>
                <w:b/>
                <w:color w:val="000000"/>
                <w:sz w:val="20"/>
              </w:rPr>
              <w:t>Forest/Prairie</w:t>
            </w:r>
          </w:p>
        </w:tc>
        <w:tc>
          <w:tcPr>
            <w:tcW w:w="1440" w:type="dxa"/>
            <w:shd w:val="clear" w:color="auto" w:fill="AFC4E9"/>
          </w:tcPr>
          <w:p w14:paraId="6FCA4CD8" w14:textId="77777777" w:rsidR="00845E52" w:rsidRDefault="000E5577">
            <w:r>
              <w:rPr>
                <w:b/>
                <w:color w:val="000000"/>
                <w:sz w:val="20"/>
              </w:rPr>
              <w:t>SE Forest</w:t>
            </w:r>
          </w:p>
        </w:tc>
        <w:tc>
          <w:tcPr>
            <w:tcW w:w="1440" w:type="dxa"/>
            <w:shd w:val="clear" w:color="auto" w:fill="AFC4E9"/>
          </w:tcPr>
          <w:p w14:paraId="3EF2F354" w14:textId="77777777" w:rsidR="00845E52" w:rsidRDefault="000E5577">
            <w:r>
              <w:rPr>
                <w:b/>
                <w:color w:val="000000"/>
                <w:sz w:val="20"/>
              </w:rPr>
              <w:t>Prairie</w:t>
            </w:r>
          </w:p>
        </w:tc>
        <w:tc>
          <w:tcPr>
            <w:tcW w:w="1440" w:type="dxa"/>
            <w:shd w:val="clear" w:color="auto" w:fill="AFC4E9"/>
          </w:tcPr>
          <w:p w14:paraId="096DB6E9" w14:textId="77777777" w:rsidR="00845E52" w:rsidRDefault="000E5577">
            <w:r>
              <w:rPr>
                <w:b/>
                <w:color w:val="000000"/>
                <w:sz w:val="20"/>
              </w:rPr>
              <w:t>N. Forest</w:t>
            </w:r>
          </w:p>
        </w:tc>
        <w:tc>
          <w:tcPr>
            <w:tcW w:w="1440" w:type="dxa"/>
            <w:shd w:val="clear" w:color="auto" w:fill="AFC4E9"/>
          </w:tcPr>
          <w:p w14:paraId="510EB081" w14:textId="77777777" w:rsidR="00845E52" w:rsidRDefault="000E5577">
            <w:r>
              <w:rPr>
                <w:b/>
                <w:color w:val="000000"/>
                <w:sz w:val="20"/>
              </w:rPr>
              <w:t>Total Acres</w:t>
            </w:r>
          </w:p>
        </w:tc>
      </w:tr>
      <w:tr w:rsidR="00845E52" w14:paraId="5F85A9FE" w14:textId="77777777">
        <w:tc>
          <w:tcPr>
            <w:tcW w:w="2880" w:type="dxa"/>
          </w:tcPr>
          <w:p w14:paraId="0CC8072A" w14:textId="77777777" w:rsidR="00845E52" w:rsidRDefault="000E5577">
            <w:r>
              <w:rPr>
                <w:sz w:val="20"/>
              </w:rPr>
              <w:t>Restore</w:t>
            </w:r>
          </w:p>
        </w:tc>
        <w:tc>
          <w:tcPr>
            <w:tcW w:w="1440" w:type="dxa"/>
          </w:tcPr>
          <w:p w14:paraId="70C790C6" w14:textId="77777777" w:rsidR="00845E52" w:rsidRDefault="000E5577">
            <w:pPr>
              <w:jc w:val="right"/>
            </w:pPr>
            <w:r>
              <w:rPr>
                <w:sz w:val="20"/>
              </w:rPr>
              <w:t>200</w:t>
            </w:r>
          </w:p>
        </w:tc>
        <w:tc>
          <w:tcPr>
            <w:tcW w:w="1440" w:type="dxa"/>
          </w:tcPr>
          <w:p w14:paraId="3309F6D0" w14:textId="77777777" w:rsidR="00845E52" w:rsidRDefault="000E5577">
            <w:pPr>
              <w:jc w:val="right"/>
            </w:pPr>
            <w:r>
              <w:rPr>
                <w:sz w:val="20"/>
              </w:rPr>
              <w:t>200</w:t>
            </w:r>
          </w:p>
        </w:tc>
        <w:tc>
          <w:tcPr>
            <w:tcW w:w="1440" w:type="dxa"/>
          </w:tcPr>
          <w:p w14:paraId="204E5F35" w14:textId="77777777" w:rsidR="00845E52" w:rsidRDefault="000E5577">
            <w:pPr>
              <w:jc w:val="right"/>
            </w:pPr>
            <w:r>
              <w:rPr>
                <w:sz w:val="20"/>
              </w:rPr>
              <w:t>100</w:t>
            </w:r>
          </w:p>
        </w:tc>
        <w:tc>
          <w:tcPr>
            <w:tcW w:w="1440" w:type="dxa"/>
          </w:tcPr>
          <w:p w14:paraId="79A73F54" w14:textId="77777777" w:rsidR="00845E52" w:rsidRDefault="000E5577">
            <w:pPr>
              <w:jc w:val="right"/>
            </w:pPr>
            <w:r>
              <w:rPr>
                <w:sz w:val="20"/>
              </w:rPr>
              <w:t>100</w:t>
            </w:r>
          </w:p>
        </w:tc>
        <w:tc>
          <w:tcPr>
            <w:tcW w:w="1440" w:type="dxa"/>
          </w:tcPr>
          <w:p w14:paraId="203579DF" w14:textId="77777777" w:rsidR="00845E52" w:rsidRDefault="000E5577">
            <w:pPr>
              <w:jc w:val="right"/>
            </w:pPr>
            <w:r>
              <w:rPr>
                <w:sz w:val="20"/>
              </w:rPr>
              <w:t>0</w:t>
            </w:r>
          </w:p>
        </w:tc>
        <w:tc>
          <w:tcPr>
            <w:tcW w:w="1440" w:type="dxa"/>
          </w:tcPr>
          <w:p w14:paraId="3E911955" w14:textId="77777777" w:rsidR="00845E52" w:rsidRDefault="000E5577">
            <w:pPr>
              <w:jc w:val="right"/>
            </w:pPr>
            <w:r>
              <w:rPr>
                <w:sz w:val="20"/>
              </w:rPr>
              <w:t>600</w:t>
            </w:r>
          </w:p>
        </w:tc>
      </w:tr>
      <w:tr w:rsidR="00845E52" w14:paraId="149E5DCC" w14:textId="77777777">
        <w:tc>
          <w:tcPr>
            <w:tcW w:w="2880" w:type="dxa"/>
          </w:tcPr>
          <w:p w14:paraId="25D7667E" w14:textId="77777777" w:rsidR="00845E52" w:rsidRDefault="000E5577">
            <w:r>
              <w:rPr>
                <w:sz w:val="20"/>
              </w:rPr>
              <w:t>Protect in Fee with State PILT Liability</w:t>
            </w:r>
          </w:p>
        </w:tc>
        <w:tc>
          <w:tcPr>
            <w:tcW w:w="1440" w:type="dxa"/>
          </w:tcPr>
          <w:p w14:paraId="5383B4DB" w14:textId="77777777" w:rsidR="00845E52" w:rsidRDefault="000E5577">
            <w:pPr>
              <w:jc w:val="right"/>
            </w:pPr>
            <w:r>
              <w:rPr>
                <w:sz w:val="20"/>
              </w:rPr>
              <w:t>0</w:t>
            </w:r>
          </w:p>
        </w:tc>
        <w:tc>
          <w:tcPr>
            <w:tcW w:w="1440" w:type="dxa"/>
          </w:tcPr>
          <w:p w14:paraId="7EBE2187" w14:textId="77777777" w:rsidR="00845E52" w:rsidRDefault="000E5577">
            <w:pPr>
              <w:jc w:val="right"/>
            </w:pPr>
            <w:r>
              <w:rPr>
                <w:sz w:val="20"/>
              </w:rPr>
              <w:t>0</w:t>
            </w:r>
          </w:p>
        </w:tc>
        <w:tc>
          <w:tcPr>
            <w:tcW w:w="1440" w:type="dxa"/>
          </w:tcPr>
          <w:p w14:paraId="5F192E6E" w14:textId="77777777" w:rsidR="00845E52" w:rsidRDefault="000E5577">
            <w:pPr>
              <w:jc w:val="right"/>
            </w:pPr>
            <w:r>
              <w:rPr>
                <w:sz w:val="20"/>
              </w:rPr>
              <w:t>0</w:t>
            </w:r>
          </w:p>
        </w:tc>
        <w:tc>
          <w:tcPr>
            <w:tcW w:w="1440" w:type="dxa"/>
          </w:tcPr>
          <w:p w14:paraId="64170B80" w14:textId="77777777" w:rsidR="00845E52" w:rsidRDefault="000E5577">
            <w:pPr>
              <w:jc w:val="right"/>
            </w:pPr>
            <w:r>
              <w:rPr>
                <w:sz w:val="20"/>
              </w:rPr>
              <w:t>0</w:t>
            </w:r>
          </w:p>
        </w:tc>
        <w:tc>
          <w:tcPr>
            <w:tcW w:w="1440" w:type="dxa"/>
          </w:tcPr>
          <w:p w14:paraId="632109A9" w14:textId="77777777" w:rsidR="00845E52" w:rsidRDefault="000E5577">
            <w:pPr>
              <w:jc w:val="right"/>
            </w:pPr>
            <w:r>
              <w:rPr>
                <w:sz w:val="20"/>
              </w:rPr>
              <w:t>0</w:t>
            </w:r>
          </w:p>
        </w:tc>
        <w:tc>
          <w:tcPr>
            <w:tcW w:w="1440" w:type="dxa"/>
          </w:tcPr>
          <w:p w14:paraId="057C8246" w14:textId="77777777" w:rsidR="00845E52" w:rsidRDefault="000E5577">
            <w:pPr>
              <w:jc w:val="right"/>
            </w:pPr>
            <w:r>
              <w:rPr>
                <w:sz w:val="20"/>
              </w:rPr>
              <w:t>0</w:t>
            </w:r>
          </w:p>
        </w:tc>
      </w:tr>
      <w:tr w:rsidR="00845E52" w14:paraId="2B06A9B6" w14:textId="77777777">
        <w:tc>
          <w:tcPr>
            <w:tcW w:w="2880" w:type="dxa"/>
          </w:tcPr>
          <w:p w14:paraId="1A810E96" w14:textId="77777777" w:rsidR="00845E52" w:rsidRDefault="000E5577">
            <w:r>
              <w:rPr>
                <w:sz w:val="20"/>
              </w:rPr>
              <w:t>Protect in Fee w/o State PILT Liability</w:t>
            </w:r>
          </w:p>
        </w:tc>
        <w:tc>
          <w:tcPr>
            <w:tcW w:w="1440" w:type="dxa"/>
          </w:tcPr>
          <w:p w14:paraId="6419622A" w14:textId="77777777" w:rsidR="00845E52" w:rsidRDefault="000E5577">
            <w:pPr>
              <w:jc w:val="right"/>
            </w:pPr>
            <w:r>
              <w:rPr>
                <w:sz w:val="20"/>
              </w:rPr>
              <w:t>0</w:t>
            </w:r>
          </w:p>
        </w:tc>
        <w:tc>
          <w:tcPr>
            <w:tcW w:w="1440" w:type="dxa"/>
          </w:tcPr>
          <w:p w14:paraId="3CD7BEA6" w14:textId="77777777" w:rsidR="00845E52" w:rsidRDefault="000E5577">
            <w:pPr>
              <w:jc w:val="right"/>
            </w:pPr>
            <w:r>
              <w:rPr>
                <w:sz w:val="20"/>
              </w:rPr>
              <w:t>0</w:t>
            </w:r>
          </w:p>
        </w:tc>
        <w:tc>
          <w:tcPr>
            <w:tcW w:w="1440" w:type="dxa"/>
          </w:tcPr>
          <w:p w14:paraId="3BB9B488" w14:textId="77777777" w:rsidR="00845E52" w:rsidRDefault="000E5577">
            <w:pPr>
              <w:jc w:val="right"/>
            </w:pPr>
            <w:r>
              <w:rPr>
                <w:sz w:val="20"/>
              </w:rPr>
              <w:t>0</w:t>
            </w:r>
          </w:p>
        </w:tc>
        <w:tc>
          <w:tcPr>
            <w:tcW w:w="1440" w:type="dxa"/>
          </w:tcPr>
          <w:p w14:paraId="5E4F9128" w14:textId="77777777" w:rsidR="00845E52" w:rsidRDefault="000E5577">
            <w:pPr>
              <w:jc w:val="right"/>
            </w:pPr>
            <w:r>
              <w:rPr>
                <w:sz w:val="20"/>
              </w:rPr>
              <w:t>0</w:t>
            </w:r>
          </w:p>
        </w:tc>
        <w:tc>
          <w:tcPr>
            <w:tcW w:w="1440" w:type="dxa"/>
          </w:tcPr>
          <w:p w14:paraId="2D809DE0" w14:textId="77777777" w:rsidR="00845E52" w:rsidRDefault="000E5577">
            <w:pPr>
              <w:jc w:val="right"/>
            </w:pPr>
            <w:r>
              <w:rPr>
                <w:sz w:val="20"/>
              </w:rPr>
              <w:t>0</w:t>
            </w:r>
          </w:p>
        </w:tc>
        <w:tc>
          <w:tcPr>
            <w:tcW w:w="1440" w:type="dxa"/>
          </w:tcPr>
          <w:p w14:paraId="3A3554E5" w14:textId="77777777" w:rsidR="00845E52" w:rsidRDefault="000E5577">
            <w:pPr>
              <w:jc w:val="right"/>
            </w:pPr>
            <w:r>
              <w:rPr>
                <w:sz w:val="20"/>
              </w:rPr>
              <w:t>0</w:t>
            </w:r>
          </w:p>
        </w:tc>
      </w:tr>
      <w:tr w:rsidR="00845E52" w14:paraId="30F1DCE3" w14:textId="77777777">
        <w:tc>
          <w:tcPr>
            <w:tcW w:w="2880" w:type="dxa"/>
          </w:tcPr>
          <w:p w14:paraId="39A980C3" w14:textId="77777777" w:rsidR="00845E52" w:rsidRDefault="000E5577">
            <w:r>
              <w:rPr>
                <w:sz w:val="20"/>
              </w:rPr>
              <w:t>Protect in Easement</w:t>
            </w:r>
          </w:p>
        </w:tc>
        <w:tc>
          <w:tcPr>
            <w:tcW w:w="1440" w:type="dxa"/>
          </w:tcPr>
          <w:p w14:paraId="36BD83EB" w14:textId="77777777" w:rsidR="00845E52" w:rsidRDefault="000E5577">
            <w:pPr>
              <w:jc w:val="right"/>
            </w:pPr>
            <w:r>
              <w:rPr>
                <w:sz w:val="20"/>
              </w:rPr>
              <w:t>0</w:t>
            </w:r>
          </w:p>
        </w:tc>
        <w:tc>
          <w:tcPr>
            <w:tcW w:w="1440" w:type="dxa"/>
          </w:tcPr>
          <w:p w14:paraId="1F7AA85D" w14:textId="77777777" w:rsidR="00845E52" w:rsidRDefault="000E5577">
            <w:pPr>
              <w:jc w:val="right"/>
            </w:pPr>
            <w:r>
              <w:rPr>
                <w:sz w:val="20"/>
              </w:rPr>
              <w:t>0</w:t>
            </w:r>
          </w:p>
        </w:tc>
        <w:tc>
          <w:tcPr>
            <w:tcW w:w="1440" w:type="dxa"/>
          </w:tcPr>
          <w:p w14:paraId="3F99B108" w14:textId="77777777" w:rsidR="00845E52" w:rsidRDefault="000E5577">
            <w:pPr>
              <w:jc w:val="right"/>
            </w:pPr>
            <w:r>
              <w:rPr>
                <w:sz w:val="20"/>
              </w:rPr>
              <w:t>0</w:t>
            </w:r>
          </w:p>
        </w:tc>
        <w:tc>
          <w:tcPr>
            <w:tcW w:w="1440" w:type="dxa"/>
          </w:tcPr>
          <w:p w14:paraId="0629510F" w14:textId="77777777" w:rsidR="00845E52" w:rsidRDefault="000E5577">
            <w:pPr>
              <w:jc w:val="right"/>
            </w:pPr>
            <w:r>
              <w:rPr>
                <w:sz w:val="20"/>
              </w:rPr>
              <w:t>0</w:t>
            </w:r>
          </w:p>
        </w:tc>
        <w:tc>
          <w:tcPr>
            <w:tcW w:w="1440" w:type="dxa"/>
          </w:tcPr>
          <w:p w14:paraId="7A17550F" w14:textId="77777777" w:rsidR="00845E52" w:rsidRDefault="000E5577">
            <w:pPr>
              <w:jc w:val="right"/>
            </w:pPr>
            <w:r>
              <w:rPr>
                <w:sz w:val="20"/>
              </w:rPr>
              <w:t>0</w:t>
            </w:r>
          </w:p>
        </w:tc>
        <w:tc>
          <w:tcPr>
            <w:tcW w:w="1440" w:type="dxa"/>
          </w:tcPr>
          <w:p w14:paraId="6C270B85" w14:textId="77777777" w:rsidR="00845E52" w:rsidRDefault="000E5577">
            <w:pPr>
              <w:jc w:val="right"/>
            </w:pPr>
            <w:r>
              <w:rPr>
                <w:sz w:val="20"/>
              </w:rPr>
              <w:t>0</w:t>
            </w:r>
          </w:p>
        </w:tc>
      </w:tr>
      <w:tr w:rsidR="00845E52" w14:paraId="2F56C2F3" w14:textId="77777777">
        <w:tc>
          <w:tcPr>
            <w:tcW w:w="2880" w:type="dxa"/>
          </w:tcPr>
          <w:p w14:paraId="49B3B5C6" w14:textId="77777777" w:rsidR="00845E52" w:rsidRDefault="000E5577">
            <w:r>
              <w:rPr>
                <w:sz w:val="20"/>
              </w:rPr>
              <w:t>Enhance</w:t>
            </w:r>
          </w:p>
        </w:tc>
        <w:tc>
          <w:tcPr>
            <w:tcW w:w="1440" w:type="dxa"/>
          </w:tcPr>
          <w:p w14:paraId="0E514772" w14:textId="77777777" w:rsidR="00845E52" w:rsidRDefault="000E5577">
            <w:pPr>
              <w:jc w:val="right"/>
            </w:pPr>
            <w:r>
              <w:rPr>
                <w:sz w:val="20"/>
              </w:rPr>
              <w:t>100</w:t>
            </w:r>
          </w:p>
        </w:tc>
        <w:tc>
          <w:tcPr>
            <w:tcW w:w="1440" w:type="dxa"/>
          </w:tcPr>
          <w:p w14:paraId="5F2EA413" w14:textId="77777777" w:rsidR="00845E52" w:rsidRDefault="000E5577">
            <w:pPr>
              <w:jc w:val="right"/>
            </w:pPr>
            <w:r>
              <w:rPr>
                <w:sz w:val="20"/>
              </w:rPr>
              <w:t>150</w:t>
            </w:r>
          </w:p>
        </w:tc>
        <w:tc>
          <w:tcPr>
            <w:tcW w:w="1440" w:type="dxa"/>
          </w:tcPr>
          <w:p w14:paraId="1B594791" w14:textId="77777777" w:rsidR="00845E52" w:rsidRDefault="000E5577">
            <w:pPr>
              <w:jc w:val="right"/>
            </w:pPr>
            <w:r>
              <w:rPr>
                <w:sz w:val="20"/>
              </w:rPr>
              <w:t>100</w:t>
            </w:r>
          </w:p>
        </w:tc>
        <w:tc>
          <w:tcPr>
            <w:tcW w:w="1440" w:type="dxa"/>
          </w:tcPr>
          <w:p w14:paraId="4B1B5746" w14:textId="77777777" w:rsidR="00845E52" w:rsidRDefault="000E5577">
            <w:pPr>
              <w:jc w:val="right"/>
            </w:pPr>
            <w:r>
              <w:rPr>
                <w:sz w:val="20"/>
              </w:rPr>
              <w:t>50</w:t>
            </w:r>
          </w:p>
        </w:tc>
        <w:tc>
          <w:tcPr>
            <w:tcW w:w="1440" w:type="dxa"/>
          </w:tcPr>
          <w:p w14:paraId="72EFEAD9" w14:textId="77777777" w:rsidR="00845E52" w:rsidRDefault="000E5577">
            <w:pPr>
              <w:jc w:val="right"/>
            </w:pPr>
            <w:r>
              <w:rPr>
                <w:sz w:val="20"/>
              </w:rPr>
              <w:t>0</w:t>
            </w:r>
          </w:p>
        </w:tc>
        <w:tc>
          <w:tcPr>
            <w:tcW w:w="1440" w:type="dxa"/>
          </w:tcPr>
          <w:p w14:paraId="79117F8A" w14:textId="77777777" w:rsidR="00845E52" w:rsidRDefault="000E5577">
            <w:pPr>
              <w:jc w:val="right"/>
            </w:pPr>
            <w:r>
              <w:rPr>
                <w:sz w:val="20"/>
              </w:rPr>
              <w:t>400</w:t>
            </w:r>
          </w:p>
        </w:tc>
      </w:tr>
      <w:tr w:rsidR="00845E52" w14:paraId="2A8E4F40" w14:textId="77777777">
        <w:tc>
          <w:tcPr>
            <w:tcW w:w="2880" w:type="dxa"/>
            <w:shd w:val="clear" w:color="auto" w:fill="EEEEEE"/>
          </w:tcPr>
          <w:p w14:paraId="2E81BAD2" w14:textId="77777777" w:rsidR="00845E52" w:rsidRDefault="000E5577">
            <w:r>
              <w:rPr>
                <w:b/>
                <w:color w:val="000000"/>
                <w:sz w:val="20"/>
              </w:rPr>
              <w:t>Total</w:t>
            </w:r>
          </w:p>
        </w:tc>
        <w:tc>
          <w:tcPr>
            <w:tcW w:w="1440" w:type="dxa"/>
            <w:shd w:val="clear" w:color="auto" w:fill="EEEEEE"/>
          </w:tcPr>
          <w:p w14:paraId="41E8DC43" w14:textId="77777777" w:rsidR="00845E52" w:rsidRDefault="000E5577">
            <w:pPr>
              <w:jc w:val="right"/>
            </w:pPr>
            <w:r>
              <w:rPr>
                <w:b/>
                <w:color w:val="000000"/>
                <w:sz w:val="20"/>
              </w:rPr>
              <w:t>300</w:t>
            </w:r>
          </w:p>
        </w:tc>
        <w:tc>
          <w:tcPr>
            <w:tcW w:w="1440" w:type="dxa"/>
            <w:shd w:val="clear" w:color="auto" w:fill="EEEEEE"/>
          </w:tcPr>
          <w:p w14:paraId="1D56C53E" w14:textId="77777777" w:rsidR="00845E52" w:rsidRDefault="000E5577">
            <w:pPr>
              <w:jc w:val="right"/>
            </w:pPr>
            <w:r>
              <w:rPr>
                <w:b/>
                <w:color w:val="000000"/>
                <w:sz w:val="20"/>
              </w:rPr>
              <w:t>350</w:t>
            </w:r>
          </w:p>
        </w:tc>
        <w:tc>
          <w:tcPr>
            <w:tcW w:w="1440" w:type="dxa"/>
            <w:shd w:val="clear" w:color="auto" w:fill="EEEEEE"/>
          </w:tcPr>
          <w:p w14:paraId="24D99944" w14:textId="77777777" w:rsidR="00845E52" w:rsidRDefault="000E5577">
            <w:pPr>
              <w:jc w:val="right"/>
            </w:pPr>
            <w:r>
              <w:rPr>
                <w:b/>
                <w:color w:val="000000"/>
                <w:sz w:val="20"/>
              </w:rPr>
              <w:t>200</w:t>
            </w:r>
          </w:p>
        </w:tc>
        <w:tc>
          <w:tcPr>
            <w:tcW w:w="1440" w:type="dxa"/>
            <w:shd w:val="clear" w:color="auto" w:fill="EEEEEE"/>
          </w:tcPr>
          <w:p w14:paraId="4AD992F4" w14:textId="77777777" w:rsidR="00845E52" w:rsidRDefault="000E5577">
            <w:pPr>
              <w:jc w:val="right"/>
            </w:pPr>
            <w:r>
              <w:rPr>
                <w:b/>
                <w:color w:val="000000"/>
                <w:sz w:val="20"/>
              </w:rPr>
              <w:t>150</w:t>
            </w:r>
          </w:p>
        </w:tc>
        <w:tc>
          <w:tcPr>
            <w:tcW w:w="1440" w:type="dxa"/>
            <w:shd w:val="clear" w:color="auto" w:fill="EEEEEE"/>
          </w:tcPr>
          <w:p w14:paraId="17E77EE6" w14:textId="77777777" w:rsidR="00845E52" w:rsidRDefault="000E5577">
            <w:pPr>
              <w:jc w:val="right"/>
            </w:pPr>
            <w:r>
              <w:rPr>
                <w:b/>
                <w:color w:val="000000"/>
                <w:sz w:val="20"/>
              </w:rPr>
              <w:t>0</w:t>
            </w:r>
          </w:p>
        </w:tc>
        <w:tc>
          <w:tcPr>
            <w:tcW w:w="1440" w:type="dxa"/>
            <w:shd w:val="clear" w:color="auto" w:fill="EEEEEE"/>
          </w:tcPr>
          <w:p w14:paraId="26FBF262" w14:textId="77777777" w:rsidR="00845E52" w:rsidRDefault="000E5577">
            <w:pPr>
              <w:jc w:val="right"/>
            </w:pPr>
            <w:r>
              <w:rPr>
                <w:b/>
                <w:color w:val="000000"/>
                <w:sz w:val="20"/>
              </w:rPr>
              <w:t>1,000</w:t>
            </w:r>
          </w:p>
        </w:tc>
      </w:tr>
    </w:tbl>
    <w:p w14:paraId="5C256FBB" w14:textId="77777777" w:rsidR="001D6589" w:rsidRDefault="001D6589">
      <w:pPr>
        <w:pStyle w:val="Heading3"/>
        <w:spacing w:before="60" w:after="80"/>
        <w:rPr>
          <w:color w:val="254885"/>
          <w:sz w:val="26"/>
        </w:rPr>
      </w:pPr>
    </w:p>
    <w:p w14:paraId="57DC22F2" w14:textId="77777777" w:rsidR="001D6589" w:rsidRDefault="001D6589">
      <w:pPr>
        <w:rPr>
          <w:rFonts w:asciiTheme="majorHAnsi" w:eastAsiaTheme="majorEastAsia" w:hAnsiTheme="majorHAnsi" w:cstheme="majorBidi"/>
          <w:b/>
          <w:bCs/>
          <w:color w:val="254885"/>
          <w:sz w:val="26"/>
        </w:rPr>
      </w:pPr>
      <w:r>
        <w:rPr>
          <w:color w:val="254885"/>
          <w:sz w:val="26"/>
        </w:rPr>
        <w:br w:type="page"/>
      </w:r>
    </w:p>
    <w:p w14:paraId="30832630" w14:textId="233C3579" w:rsidR="00845E52" w:rsidRDefault="000E5577">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2"/>
        <w:gridCol w:w="1446"/>
        <w:gridCol w:w="1551"/>
        <w:gridCol w:w="1350"/>
        <w:gridCol w:w="1350"/>
        <w:gridCol w:w="1280"/>
        <w:gridCol w:w="1391"/>
      </w:tblGrid>
      <w:tr w:rsidR="00845E52" w14:paraId="07B2BB54" w14:textId="77777777">
        <w:tc>
          <w:tcPr>
            <w:tcW w:w="2880" w:type="dxa"/>
            <w:shd w:val="clear" w:color="auto" w:fill="AFC4E9"/>
          </w:tcPr>
          <w:p w14:paraId="325CD468" w14:textId="77777777" w:rsidR="00845E52" w:rsidRDefault="000E5577">
            <w:r>
              <w:rPr>
                <w:b/>
                <w:color w:val="000000"/>
                <w:sz w:val="20"/>
              </w:rPr>
              <w:t>Type</w:t>
            </w:r>
          </w:p>
        </w:tc>
        <w:tc>
          <w:tcPr>
            <w:tcW w:w="1440" w:type="dxa"/>
            <w:shd w:val="clear" w:color="auto" w:fill="AFC4E9"/>
          </w:tcPr>
          <w:p w14:paraId="2E4D72DF" w14:textId="77777777" w:rsidR="00845E52" w:rsidRDefault="000E5577">
            <w:r>
              <w:rPr>
                <w:b/>
                <w:color w:val="000000"/>
                <w:sz w:val="20"/>
              </w:rPr>
              <w:t>Metro/Urban</w:t>
            </w:r>
          </w:p>
        </w:tc>
        <w:tc>
          <w:tcPr>
            <w:tcW w:w="1440" w:type="dxa"/>
            <w:shd w:val="clear" w:color="auto" w:fill="AFC4E9"/>
          </w:tcPr>
          <w:p w14:paraId="6C3CADB9" w14:textId="77777777" w:rsidR="00845E52" w:rsidRDefault="000E5577">
            <w:r>
              <w:rPr>
                <w:b/>
                <w:color w:val="000000"/>
                <w:sz w:val="20"/>
              </w:rPr>
              <w:t>Forest/Prairie</w:t>
            </w:r>
          </w:p>
        </w:tc>
        <w:tc>
          <w:tcPr>
            <w:tcW w:w="1440" w:type="dxa"/>
            <w:shd w:val="clear" w:color="auto" w:fill="AFC4E9"/>
          </w:tcPr>
          <w:p w14:paraId="6EE194CE" w14:textId="77777777" w:rsidR="00845E52" w:rsidRDefault="000E5577">
            <w:r>
              <w:rPr>
                <w:b/>
                <w:color w:val="000000"/>
                <w:sz w:val="20"/>
              </w:rPr>
              <w:t>SE Forest</w:t>
            </w:r>
          </w:p>
        </w:tc>
        <w:tc>
          <w:tcPr>
            <w:tcW w:w="1440" w:type="dxa"/>
            <w:shd w:val="clear" w:color="auto" w:fill="AFC4E9"/>
          </w:tcPr>
          <w:p w14:paraId="5F1693C0" w14:textId="77777777" w:rsidR="00845E52" w:rsidRDefault="000E5577">
            <w:r>
              <w:rPr>
                <w:b/>
                <w:color w:val="000000"/>
                <w:sz w:val="20"/>
              </w:rPr>
              <w:t>Prairie</w:t>
            </w:r>
          </w:p>
        </w:tc>
        <w:tc>
          <w:tcPr>
            <w:tcW w:w="1440" w:type="dxa"/>
            <w:shd w:val="clear" w:color="auto" w:fill="AFC4E9"/>
          </w:tcPr>
          <w:p w14:paraId="002F22C4" w14:textId="77777777" w:rsidR="00845E52" w:rsidRDefault="000E5577">
            <w:r>
              <w:rPr>
                <w:b/>
                <w:color w:val="000000"/>
                <w:sz w:val="20"/>
              </w:rPr>
              <w:t>N. Forest</w:t>
            </w:r>
          </w:p>
        </w:tc>
        <w:tc>
          <w:tcPr>
            <w:tcW w:w="1440" w:type="dxa"/>
            <w:shd w:val="clear" w:color="auto" w:fill="AFC4E9"/>
          </w:tcPr>
          <w:p w14:paraId="2B556FE7" w14:textId="77777777" w:rsidR="00845E52" w:rsidRDefault="000E5577">
            <w:r>
              <w:rPr>
                <w:b/>
                <w:color w:val="000000"/>
                <w:sz w:val="20"/>
              </w:rPr>
              <w:t>Total Funding</w:t>
            </w:r>
          </w:p>
        </w:tc>
      </w:tr>
      <w:tr w:rsidR="00845E52" w14:paraId="1C01AE18" w14:textId="77777777">
        <w:tc>
          <w:tcPr>
            <w:tcW w:w="2880" w:type="dxa"/>
          </w:tcPr>
          <w:p w14:paraId="6EC92F2C" w14:textId="77777777" w:rsidR="00845E52" w:rsidRDefault="000E5577">
            <w:r>
              <w:rPr>
                <w:sz w:val="20"/>
              </w:rPr>
              <w:t>Restore</w:t>
            </w:r>
          </w:p>
        </w:tc>
        <w:tc>
          <w:tcPr>
            <w:tcW w:w="1440" w:type="dxa"/>
          </w:tcPr>
          <w:p w14:paraId="3723AAE3" w14:textId="77777777" w:rsidR="00845E52" w:rsidRDefault="000E5577">
            <w:pPr>
              <w:jc w:val="right"/>
            </w:pPr>
            <w:r>
              <w:rPr>
                <w:sz w:val="20"/>
              </w:rPr>
              <w:t>$883,400</w:t>
            </w:r>
          </w:p>
        </w:tc>
        <w:tc>
          <w:tcPr>
            <w:tcW w:w="1440" w:type="dxa"/>
          </w:tcPr>
          <w:p w14:paraId="6E5FA2B3" w14:textId="77777777" w:rsidR="00845E52" w:rsidRDefault="000E5577">
            <w:pPr>
              <w:jc w:val="right"/>
            </w:pPr>
            <w:r>
              <w:rPr>
                <w:sz w:val="20"/>
              </w:rPr>
              <w:t>$890,400</w:t>
            </w:r>
          </w:p>
        </w:tc>
        <w:tc>
          <w:tcPr>
            <w:tcW w:w="1440" w:type="dxa"/>
          </w:tcPr>
          <w:p w14:paraId="65F19DDE" w14:textId="77777777" w:rsidR="00845E52" w:rsidRDefault="000E5577">
            <w:pPr>
              <w:jc w:val="right"/>
            </w:pPr>
            <w:r>
              <w:rPr>
                <w:sz w:val="20"/>
              </w:rPr>
              <w:t>$610,700</w:t>
            </w:r>
          </w:p>
        </w:tc>
        <w:tc>
          <w:tcPr>
            <w:tcW w:w="1440" w:type="dxa"/>
          </w:tcPr>
          <w:p w14:paraId="01423CC5" w14:textId="77777777" w:rsidR="00845E52" w:rsidRDefault="000E5577">
            <w:pPr>
              <w:jc w:val="right"/>
            </w:pPr>
            <w:r>
              <w:rPr>
                <w:sz w:val="20"/>
              </w:rPr>
              <w:t>$438,700</w:t>
            </w:r>
          </w:p>
        </w:tc>
        <w:tc>
          <w:tcPr>
            <w:tcW w:w="1440" w:type="dxa"/>
          </w:tcPr>
          <w:p w14:paraId="6522135A" w14:textId="77777777" w:rsidR="00845E52" w:rsidRDefault="000E5577">
            <w:pPr>
              <w:jc w:val="right"/>
            </w:pPr>
            <w:r>
              <w:rPr>
                <w:sz w:val="20"/>
              </w:rPr>
              <w:t>-</w:t>
            </w:r>
          </w:p>
        </w:tc>
        <w:tc>
          <w:tcPr>
            <w:tcW w:w="1440" w:type="dxa"/>
          </w:tcPr>
          <w:p w14:paraId="674D4FF7" w14:textId="77777777" w:rsidR="00845E52" w:rsidRDefault="000E5577">
            <w:pPr>
              <w:jc w:val="right"/>
            </w:pPr>
            <w:r>
              <w:rPr>
                <w:sz w:val="20"/>
              </w:rPr>
              <w:t>$2,823,200</w:t>
            </w:r>
          </w:p>
        </w:tc>
      </w:tr>
      <w:tr w:rsidR="00845E52" w14:paraId="4CBD8C97" w14:textId="77777777">
        <w:tc>
          <w:tcPr>
            <w:tcW w:w="2880" w:type="dxa"/>
          </w:tcPr>
          <w:p w14:paraId="07808FC3" w14:textId="77777777" w:rsidR="00845E52" w:rsidRDefault="000E5577">
            <w:r>
              <w:rPr>
                <w:sz w:val="20"/>
              </w:rPr>
              <w:t>Protect in Fee with State PILT Liability</w:t>
            </w:r>
          </w:p>
        </w:tc>
        <w:tc>
          <w:tcPr>
            <w:tcW w:w="1440" w:type="dxa"/>
          </w:tcPr>
          <w:p w14:paraId="6A17D26D" w14:textId="77777777" w:rsidR="00845E52" w:rsidRDefault="000E5577">
            <w:pPr>
              <w:jc w:val="right"/>
            </w:pPr>
            <w:r>
              <w:rPr>
                <w:sz w:val="20"/>
              </w:rPr>
              <w:t>-</w:t>
            </w:r>
          </w:p>
        </w:tc>
        <w:tc>
          <w:tcPr>
            <w:tcW w:w="1440" w:type="dxa"/>
          </w:tcPr>
          <w:p w14:paraId="2EF08E58" w14:textId="77777777" w:rsidR="00845E52" w:rsidRDefault="000E5577">
            <w:pPr>
              <w:jc w:val="right"/>
            </w:pPr>
            <w:r>
              <w:rPr>
                <w:sz w:val="20"/>
              </w:rPr>
              <w:t>-</w:t>
            </w:r>
          </w:p>
        </w:tc>
        <w:tc>
          <w:tcPr>
            <w:tcW w:w="1440" w:type="dxa"/>
          </w:tcPr>
          <w:p w14:paraId="5D918B47" w14:textId="77777777" w:rsidR="00845E52" w:rsidRDefault="000E5577">
            <w:pPr>
              <w:jc w:val="right"/>
            </w:pPr>
            <w:r>
              <w:rPr>
                <w:sz w:val="20"/>
              </w:rPr>
              <w:t>-</w:t>
            </w:r>
          </w:p>
        </w:tc>
        <w:tc>
          <w:tcPr>
            <w:tcW w:w="1440" w:type="dxa"/>
          </w:tcPr>
          <w:p w14:paraId="3398FD4F" w14:textId="77777777" w:rsidR="00845E52" w:rsidRDefault="000E5577">
            <w:pPr>
              <w:jc w:val="right"/>
            </w:pPr>
            <w:r>
              <w:rPr>
                <w:sz w:val="20"/>
              </w:rPr>
              <w:t>-</w:t>
            </w:r>
          </w:p>
        </w:tc>
        <w:tc>
          <w:tcPr>
            <w:tcW w:w="1440" w:type="dxa"/>
          </w:tcPr>
          <w:p w14:paraId="0F3A835D" w14:textId="77777777" w:rsidR="00845E52" w:rsidRDefault="000E5577">
            <w:pPr>
              <w:jc w:val="right"/>
            </w:pPr>
            <w:r>
              <w:rPr>
                <w:sz w:val="20"/>
              </w:rPr>
              <w:t>-</w:t>
            </w:r>
          </w:p>
        </w:tc>
        <w:tc>
          <w:tcPr>
            <w:tcW w:w="1440" w:type="dxa"/>
          </w:tcPr>
          <w:p w14:paraId="52CE3B16" w14:textId="77777777" w:rsidR="00845E52" w:rsidRDefault="000E5577">
            <w:pPr>
              <w:jc w:val="right"/>
            </w:pPr>
            <w:r>
              <w:rPr>
                <w:sz w:val="20"/>
              </w:rPr>
              <w:t>-</w:t>
            </w:r>
          </w:p>
        </w:tc>
      </w:tr>
      <w:tr w:rsidR="00845E52" w14:paraId="37FB589F" w14:textId="77777777">
        <w:tc>
          <w:tcPr>
            <w:tcW w:w="2880" w:type="dxa"/>
          </w:tcPr>
          <w:p w14:paraId="1EC74F47" w14:textId="77777777" w:rsidR="00845E52" w:rsidRDefault="000E5577">
            <w:r>
              <w:rPr>
                <w:sz w:val="20"/>
              </w:rPr>
              <w:t>Protect in Fee w/o State PILT Liability</w:t>
            </w:r>
          </w:p>
        </w:tc>
        <w:tc>
          <w:tcPr>
            <w:tcW w:w="1440" w:type="dxa"/>
          </w:tcPr>
          <w:p w14:paraId="5F392923" w14:textId="77777777" w:rsidR="00845E52" w:rsidRDefault="000E5577">
            <w:pPr>
              <w:jc w:val="right"/>
            </w:pPr>
            <w:r>
              <w:rPr>
                <w:sz w:val="20"/>
              </w:rPr>
              <w:t>-</w:t>
            </w:r>
          </w:p>
        </w:tc>
        <w:tc>
          <w:tcPr>
            <w:tcW w:w="1440" w:type="dxa"/>
          </w:tcPr>
          <w:p w14:paraId="2EEC1575" w14:textId="77777777" w:rsidR="00845E52" w:rsidRDefault="000E5577">
            <w:pPr>
              <w:jc w:val="right"/>
            </w:pPr>
            <w:r>
              <w:rPr>
                <w:sz w:val="20"/>
              </w:rPr>
              <w:t>-</w:t>
            </w:r>
          </w:p>
        </w:tc>
        <w:tc>
          <w:tcPr>
            <w:tcW w:w="1440" w:type="dxa"/>
          </w:tcPr>
          <w:p w14:paraId="31FFF901" w14:textId="77777777" w:rsidR="00845E52" w:rsidRDefault="000E5577">
            <w:pPr>
              <w:jc w:val="right"/>
            </w:pPr>
            <w:r>
              <w:rPr>
                <w:sz w:val="20"/>
              </w:rPr>
              <w:t>-</w:t>
            </w:r>
          </w:p>
        </w:tc>
        <w:tc>
          <w:tcPr>
            <w:tcW w:w="1440" w:type="dxa"/>
          </w:tcPr>
          <w:p w14:paraId="44006A7D" w14:textId="77777777" w:rsidR="00845E52" w:rsidRDefault="000E5577">
            <w:pPr>
              <w:jc w:val="right"/>
            </w:pPr>
            <w:r>
              <w:rPr>
                <w:sz w:val="20"/>
              </w:rPr>
              <w:t>-</w:t>
            </w:r>
          </w:p>
        </w:tc>
        <w:tc>
          <w:tcPr>
            <w:tcW w:w="1440" w:type="dxa"/>
          </w:tcPr>
          <w:p w14:paraId="5F02100E" w14:textId="77777777" w:rsidR="00845E52" w:rsidRDefault="000E5577">
            <w:pPr>
              <w:jc w:val="right"/>
            </w:pPr>
            <w:r>
              <w:rPr>
                <w:sz w:val="20"/>
              </w:rPr>
              <w:t>-</w:t>
            </w:r>
          </w:p>
        </w:tc>
        <w:tc>
          <w:tcPr>
            <w:tcW w:w="1440" w:type="dxa"/>
          </w:tcPr>
          <w:p w14:paraId="6D2ED056" w14:textId="77777777" w:rsidR="00845E52" w:rsidRDefault="000E5577">
            <w:pPr>
              <w:jc w:val="right"/>
            </w:pPr>
            <w:r>
              <w:rPr>
                <w:sz w:val="20"/>
              </w:rPr>
              <w:t>-</w:t>
            </w:r>
          </w:p>
        </w:tc>
      </w:tr>
      <w:tr w:rsidR="00845E52" w14:paraId="765EE07E" w14:textId="77777777">
        <w:tc>
          <w:tcPr>
            <w:tcW w:w="2880" w:type="dxa"/>
          </w:tcPr>
          <w:p w14:paraId="40839C76" w14:textId="77777777" w:rsidR="00845E52" w:rsidRDefault="000E5577">
            <w:r>
              <w:rPr>
                <w:sz w:val="20"/>
              </w:rPr>
              <w:t>Protect in Easement</w:t>
            </w:r>
          </w:p>
        </w:tc>
        <w:tc>
          <w:tcPr>
            <w:tcW w:w="1440" w:type="dxa"/>
          </w:tcPr>
          <w:p w14:paraId="14162666" w14:textId="77777777" w:rsidR="00845E52" w:rsidRDefault="000E5577">
            <w:pPr>
              <w:jc w:val="right"/>
            </w:pPr>
            <w:r>
              <w:rPr>
                <w:sz w:val="20"/>
              </w:rPr>
              <w:t>-</w:t>
            </w:r>
          </w:p>
        </w:tc>
        <w:tc>
          <w:tcPr>
            <w:tcW w:w="1440" w:type="dxa"/>
          </w:tcPr>
          <w:p w14:paraId="30CBCE21" w14:textId="77777777" w:rsidR="00845E52" w:rsidRDefault="000E5577">
            <w:pPr>
              <w:jc w:val="right"/>
            </w:pPr>
            <w:r>
              <w:rPr>
                <w:sz w:val="20"/>
              </w:rPr>
              <w:t>-</w:t>
            </w:r>
          </w:p>
        </w:tc>
        <w:tc>
          <w:tcPr>
            <w:tcW w:w="1440" w:type="dxa"/>
          </w:tcPr>
          <w:p w14:paraId="15AF8EE0" w14:textId="77777777" w:rsidR="00845E52" w:rsidRDefault="000E5577">
            <w:pPr>
              <w:jc w:val="right"/>
            </w:pPr>
            <w:r>
              <w:rPr>
                <w:sz w:val="20"/>
              </w:rPr>
              <w:t>-</w:t>
            </w:r>
          </w:p>
        </w:tc>
        <w:tc>
          <w:tcPr>
            <w:tcW w:w="1440" w:type="dxa"/>
          </w:tcPr>
          <w:p w14:paraId="0B08D469" w14:textId="77777777" w:rsidR="00845E52" w:rsidRDefault="000E5577">
            <w:pPr>
              <w:jc w:val="right"/>
            </w:pPr>
            <w:r>
              <w:rPr>
                <w:sz w:val="20"/>
              </w:rPr>
              <w:t>-</w:t>
            </w:r>
          </w:p>
        </w:tc>
        <w:tc>
          <w:tcPr>
            <w:tcW w:w="1440" w:type="dxa"/>
          </w:tcPr>
          <w:p w14:paraId="6CC979FD" w14:textId="77777777" w:rsidR="00845E52" w:rsidRDefault="000E5577">
            <w:pPr>
              <w:jc w:val="right"/>
            </w:pPr>
            <w:r>
              <w:rPr>
                <w:sz w:val="20"/>
              </w:rPr>
              <w:t>-</w:t>
            </w:r>
          </w:p>
        </w:tc>
        <w:tc>
          <w:tcPr>
            <w:tcW w:w="1440" w:type="dxa"/>
          </w:tcPr>
          <w:p w14:paraId="0859C172" w14:textId="77777777" w:rsidR="00845E52" w:rsidRDefault="000E5577">
            <w:pPr>
              <w:jc w:val="right"/>
            </w:pPr>
            <w:r>
              <w:rPr>
                <w:sz w:val="20"/>
              </w:rPr>
              <w:t>-</w:t>
            </w:r>
          </w:p>
        </w:tc>
      </w:tr>
      <w:tr w:rsidR="00845E52" w14:paraId="18295EB9" w14:textId="77777777">
        <w:tc>
          <w:tcPr>
            <w:tcW w:w="2880" w:type="dxa"/>
          </w:tcPr>
          <w:p w14:paraId="30D736D0" w14:textId="77777777" w:rsidR="00845E52" w:rsidRDefault="000E5577">
            <w:r>
              <w:rPr>
                <w:sz w:val="20"/>
              </w:rPr>
              <w:t>Enhance</w:t>
            </w:r>
          </w:p>
        </w:tc>
        <w:tc>
          <w:tcPr>
            <w:tcW w:w="1440" w:type="dxa"/>
          </w:tcPr>
          <w:p w14:paraId="4B5E98E9" w14:textId="77777777" w:rsidR="00845E52" w:rsidRDefault="000E5577">
            <w:pPr>
              <w:jc w:val="right"/>
            </w:pPr>
            <w:r>
              <w:rPr>
                <w:sz w:val="20"/>
              </w:rPr>
              <w:t>$200,000</w:t>
            </w:r>
          </w:p>
        </w:tc>
        <w:tc>
          <w:tcPr>
            <w:tcW w:w="1440" w:type="dxa"/>
          </w:tcPr>
          <w:p w14:paraId="071D0A33" w14:textId="77777777" w:rsidR="00845E52" w:rsidRDefault="000E5577">
            <w:pPr>
              <w:jc w:val="right"/>
            </w:pPr>
            <w:r>
              <w:rPr>
                <w:sz w:val="20"/>
              </w:rPr>
              <w:t>$300,000</w:t>
            </w:r>
          </w:p>
        </w:tc>
        <w:tc>
          <w:tcPr>
            <w:tcW w:w="1440" w:type="dxa"/>
          </w:tcPr>
          <w:p w14:paraId="001CFB0E" w14:textId="77777777" w:rsidR="00845E52" w:rsidRDefault="000E5577">
            <w:pPr>
              <w:jc w:val="right"/>
            </w:pPr>
            <w:r>
              <w:rPr>
                <w:sz w:val="20"/>
              </w:rPr>
              <w:t>$100,000</w:t>
            </w:r>
          </w:p>
        </w:tc>
        <w:tc>
          <w:tcPr>
            <w:tcW w:w="1440" w:type="dxa"/>
          </w:tcPr>
          <w:p w14:paraId="72D80839" w14:textId="77777777" w:rsidR="00845E52" w:rsidRDefault="000E5577">
            <w:pPr>
              <w:jc w:val="right"/>
            </w:pPr>
            <w:r>
              <w:rPr>
                <w:sz w:val="20"/>
              </w:rPr>
              <w:t>$200,000</w:t>
            </w:r>
          </w:p>
        </w:tc>
        <w:tc>
          <w:tcPr>
            <w:tcW w:w="1440" w:type="dxa"/>
          </w:tcPr>
          <w:p w14:paraId="64C05F21" w14:textId="77777777" w:rsidR="00845E52" w:rsidRDefault="000E5577">
            <w:pPr>
              <w:jc w:val="right"/>
            </w:pPr>
            <w:r>
              <w:rPr>
                <w:sz w:val="20"/>
              </w:rPr>
              <w:t>-</w:t>
            </w:r>
          </w:p>
        </w:tc>
        <w:tc>
          <w:tcPr>
            <w:tcW w:w="1440" w:type="dxa"/>
          </w:tcPr>
          <w:p w14:paraId="430E56EB" w14:textId="77777777" w:rsidR="00845E52" w:rsidRDefault="000E5577">
            <w:pPr>
              <w:jc w:val="right"/>
            </w:pPr>
            <w:r>
              <w:rPr>
                <w:sz w:val="20"/>
              </w:rPr>
              <w:t>$800,000</w:t>
            </w:r>
          </w:p>
        </w:tc>
      </w:tr>
      <w:tr w:rsidR="00845E52" w14:paraId="41BEF589" w14:textId="77777777">
        <w:tc>
          <w:tcPr>
            <w:tcW w:w="2880" w:type="dxa"/>
            <w:shd w:val="clear" w:color="auto" w:fill="EEEEEE"/>
          </w:tcPr>
          <w:p w14:paraId="0623A186" w14:textId="77777777" w:rsidR="00845E52" w:rsidRDefault="000E5577">
            <w:r>
              <w:rPr>
                <w:b/>
                <w:color w:val="000000"/>
                <w:sz w:val="20"/>
              </w:rPr>
              <w:t>Total</w:t>
            </w:r>
          </w:p>
        </w:tc>
        <w:tc>
          <w:tcPr>
            <w:tcW w:w="1440" w:type="dxa"/>
            <w:shd w:val="clear" w:color="auto" w:fill="EEEEEE"/>
          </w:tcPr>
          <w:p w14:paraId="1FF83BA4" w14:textId="77777777" w:rsidR="00845E52" w:rsidRDefault="000E5577">
            <w:pPr>
              <w:jc w:val="right"/>
            </w:pPr>
            <w:r>
              <w:rPr>
                <w:b/>
                <w:color w:val="000000"/>
                <w:sz w:val="20"/>
              </w:rPr>
              <w:t>$1,083,400</w:t>
            </w:r>
          </w:p>
        </w:tc>
        <w:tc>
          <w:tcPr>
            <w:tcW w:w="1440" w:type="dxa"/>
            <w:shd w:val="clear" w:color="auto" w:fill="EEEEEE"/>
          </w:tcPr>
          <w:p w14:paraId="1114D1A1" w14:textId="77777777" w:rsidR="00845E52" w:rsidRDefault="000E5577">
            <w:pPr>
              <w:jc w:val="right"/>
            </w:pPr>
            <w:r>
              <w:rPr>
                <w:b/>
                <w:color w:val="000000"/>
                <w:sz w:val="20"/>
              </w:rPr>
              <w:t>$1,190,400</w:t>
            </w:r>
          </w:p>
        </w:tc>
        <w:tc>
          <w:tcPr>
            <w:tcW w:w="1440" w:type="dxa"/>
            <w:shd w:val="clear" w:color="auto" w:fill="EEEEEE"/>
          </w:tcPr>
          <w:p w14:paraId="66BAD92A" w14:textId="77777777" w:rsidR="00845E52" w:rsidRDefault="000E5577">
            <w:pPr>
              <w:jc w:val="right"/>
            </w:pPr>
            <w:r>
              <w:rPr>
                <w:b/>
                <w:color w:val="000000"/>
                <w:sz w:val="20"/>
              </w:rPr>
              <w:t>$710,700</w:t>
            </w:r>
          </w:p>
        </w:tc>
        <w:tc>
          <w:tcPr>
            <w:tcW w:w="1440" w:type="dxa"/>
            <w:shd w:val="clear" w:color="auto" w:fill="EEEEEE"/>
          </w:tcPr>
          <w:p w14:paraId="292A0BA2" w14:textId="77777777" w:rsidR="00845E52" w:rsidRDefault="000E5577">
            <w:pPr>
              <w:jc w:val="right"/>
            </w:pPr>
            <w:r>
              <w:rPr>
                <w:b/>
                <w:color w:val="000000"/>
                <w:sz w:val="20"/>
              </w:rPr>
              <w:t>$638,700</w:t>
            </w:r>
          </w:p>
        </w:tc>
        <w:tc>
          <w:tcPr>
            <w:tcW w:w="1440" w:type="dxa"/>
            <w:shd w:val="clear" w:color="auto" w:fill="EEEEEE"/>
          </w:tcPr>
          <w:p w14:paraId="4D0D047E" w14:textId="77777777" w:rsidR="00845E52" w:rsidRDefault="000E5577">
            <w:pPr>
              <w:jc w:val="right"/>
            </w:pPr>
            <w:r>
              <w:rPr>
                <w:b/>
                <w:color w:val="000000"/>
                <w:sz w:val="20"/>
              </w:rPr>
              <w:t>-</w:t>
            </w:r>
          </w:p>
        </w:tc>
        <w:tc>
          <w:tcPr>
            <w:tcW w:w="1440" w:type="dxa"/>
            <w:shd w:val="clear" w:color="auto" w:fill="EEEEEE"/>
          </w:tcPr>
          <w:p w14:paraId="077229EC" w14:textId="77777777" w:rsidR="00845E52" w:rsidRDefault="000E5577">
            <w:pPr>
              <w:jc w:val="right"/>
            </w:pPr>
            <w:r>
              <w:rPr>
                <w:b/>
                <w:color w:val="000000"/>
                <w:sz w:val="20"/>
              </w:rPr>
              <w:t>$3,623,200</w:t>
            </w:r>
          </w:p>
        </w:tc>
      </w:tr>
    </w:tbl>
    <w:p w14:paraId="55DE6874" w14:textId="77777777" w:rsidR="00845E52" w:rsidRDefault="000E5577">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45E52" w14:paraId="4A07F587" w14:textId="77777777">
        <w:tc>
          <w:tcPr>
            <w:tcW w:w="3600" w:type="dxa"/>
            <w:shd w:val="clear" w:color="auto" w:fill="AFC4E9"/>
          </w:tcPr>
          <w:p w14:paraId="505A0241" w14:textId="77777777" w:rsidR="00845E52" w:rsidRDefault="000E5577">
            <w:r>
              <w:rPr>
                <w:b/>
                <w:color w:val="000000"/>
                <w:sz w:val="20"/>
              </w:rPr>
              <w:t>Type</w:t>
            </w:r>
          </w:p>
        </w:tc>
        <w:tc>
          <w:tcPr>
            <w:tcW w:w="1800" w:type="dxa"/>
            <w:shd w:val="clear" w:color="auto" w:fill="AFC4E9"/>
          </w:tcPr>
          <w:p w14:paraId="281568D5" w14:textId="77777777" w:rsidR="00845E52" w:rsidRDefault="000E5577">
            <w:r>
              <w:rPr>
                <w:b/>
                <w:color w:val="000000"/>
                <w:sz w:val="20"/>
              </w:rPr>
              <w:t>Wetland</w:t>
            </w:r>
          </w:p>
        </w:tc>
        <w:tc>
          <w:tcPr>
            <w:tcW w:w="1800" w:type="dxa"/>
            <w:shd w:val="clear" w:color="auto" w:fill="AFC4E9"/>
          </w:tcPr>
          <w:p w14:paraId="58637876" w14:textId="77777777" w:rsidR="00845E52" w:rsidRDefault="000E5577">
            <w:r>
              <w:rPr>
                <w:b/>
                <w:color w:val="000000"/>
                <w:sz w:val="20"/>
              </w:rPr>
              <w:t>Prairie</w:t>
            </w:r>
          </w:p>
        </w:tc>
        <w:tc>
          <w:tcPr>
            <w:tcW w:w="1800" w:type="dxa"/>
            <w:shd w:val="clear" w:color="auto" w:fill="AFC4E9"/>
          </w:tcPr>
          <w:p w14:paraId="7B1132D6" w14:textId="77777777" w:rsidR="00845E52" w:rsidRDefault="000E5577">
            <w:r>
              <w:rPr>
                <w:b/>
                <w:color w:val="000000"/>
                <w:sz w:val="20"/>
              </w:rPr>
              <w:t>Forest</w:t>
            </w:r>
          </w:p>
        </w:tc>
        <w:tc>
          <w:tcPr>
            <w:tcW w:w="1800" w:type="dxa"/>
            <w:shd w:val="clear" w:color="auto" w:fill="AFC4E9"/>
          </w:tcPr>
          <w:p w14:paraId="5DD83221" w14:textId="77777777" w:rsidR="00845E52" w:rsidRDefault="000E5577">
            <w:r>
              <w:rPr>
                <w:b/>
                <w:color w:val="000000"/>
                <w:sz w:val="20"/>
              </w:rPr>
              <w:t>Habitat</w:t>
            </w:r>
          </w:p>
        </w:tc>
      </w:tr>
      <w:tr w:rsidR="00845E52" w14:paraId="192754D6" w14:textId="77777777">
        <w:tc>
          <w:tcPr>
            <w:tcW w:w="3600" w:type="dxa"/>
          </w:tcPr>
          <w:p w14:paraId="2E631835" w14:textId="77777777" w:rsidR="00845E52" w:rsidRDefault="000E5577">
            <w:r>
              <w:rPr>
                <w:sz w:val="20"/>
              </w:rPr>
              <w:t>Restore</w:t>
            </w:r>
          </w:p>
        </w:tc>
        <w:tc>
          <w:tcPr>
            <w:tcW w:w="1800" w:type="dxa"/>
          </w:tcPr>
          <w:p w14:paraId="2AA46CC4" w14:textId="77777777" w:rsidR="00845E52" w:rsidRDefault="000E5577">
            <w:pPr>
              <w:jc w:val="right"/>
            </w:pPr>
            <w:r>
              <w:rPr>
                <w:sz w:val="20"/>
              </w:rPr>
              <w:t>-</w:t>
            </w:r>
          </w:p>
        </w:tc>
        <w:tc>
          <w:tcPr>
            <w:tcW w:w="1800" w:type="dxa"/>
          </w:tcPr>
          <w:p w14:paraId="00ED67EF" w14:textId="77777777" w:rsidR="00845E52" w:rsidRDefault="000E5577">
            <w:pPr>
              <w:jc w:val="right"/>
            </w:pPr>
            <w:r>
              <w:rPr>
                <w:sz w:val="20"/>
              </w:rPr>
              <w:t>$5,400</w:t>
            </w:r>
          </w:p>
        </w:tc>
        <w:tc>
          <w:tcPr>
            <w:tcW w:w="1800" w:type="dxa"/>
          </w:tcPr>
          <w:p w14:paraId="2EB8EF4D" w14:textId="77777777" w:rsidR="00845E52" w:rsidRDefault="000E5577">
            <w:pPr>
              <w:jc w:val="right"/>
            </w:pPr>
            <w:r>
              <w:rPr>
                <w:sz w:val="20"/>
              </w:rPr>
              <w:t>$4,754</w:t>
            </w:r>
          </w:p>
        </w:tc>
        <w:tc>
          <w:tcPr>
            <w:tcW w:w="1800" w:type="dxa"/>
          </w:tcPr>
          <w:p w14:paraId="07C12EA6" w14:textId="77777777" w:rsidR="00845E52" w:rsidRDefault="000E5577">
            <w:pPr>
              <w:jc w:val="right"/>
            </w:pPr>
            <w:r>
              <w:rPr>
                <w:sz w:val="20"/>
              </w:rPr>
              <w:t>$4,333</w:t>
            </w:r>
          </w:p>
        </w:tc>
      </w:tr>
      <w:tr w:rsidR="00845E52" w14:paraId="2BF9E37F" w14:textId="77777777">
        <w:tc>
          <w:tcPr>
            <w:tcW w:w="3600" w:type="dxa"/>
          </w:tcPr>
          <w:p w14:paraId="14EE4C41" w14:textId="77777777" w:rsidR="00845E52" w:rsidRDefault="000E5577">
            <w:r>
              <w:rPr>
                <w:sz w:val="20"/>
              </w:rPr>
              <w:t>Protect in Fee with State PILT Liability</w:t>
            </w:r>
          </w:p>
        </w:tc>
        <w:tc>
          <w:tcPr>
            <w:tcW w:w="1800" w:type="dxa"/>
          </w:tcPr>
          <w:p w14:paraId="14F025C8" w14:textId="77777777" w:rsidR="00845E52" w:rsidRDefault="000E5577">
            <w:pPr>
              <w:jc w:val="right"/>
            </w:pPr>
            <w:r>
              <w:rPr>
                <w:sz w:val="20"/>
              </w:rPr>
              <w:t>-</w:t>
            </w:r>
          </w:p>
        </w:tc>
        <w:tc>
          <w:tcPr>
            <w:tcW w:w="1800" w:type="dxa"/>
          </w:tcPr>
          <w:p w14:paraId="5BE6226A" w14:textId="77777777" w:rsidR="00845E52" w:rsidRDefault="000E5577">
            <w:pPr>
              <w:jc w:val="right"/>
            </w:pPr>
            <w:r>
              <w:rPr>
                <w:sz w:val="20"/>
              </w:rPr>
              <w:t>-</w:t>
            </w:r>
          </w:p>
        </w:tc>
        <w:tc>
          <w:tcPr>
            <w:tcW w:w="1800" w:type="dxa"/>
          </w:tcPr>
          <w:p w14:paraId="26C319E8" w14:textId="77777777" w:rsidR="00845E52" w:rsidRDefault="000E5577">
            <w:pPr>
              <w:jc w:val="right"/>
            </w:pPr>
            <w:r>
              <w:rPr>
                <w:sz w:val="20"/>
              </w:rPr>
              <w:t>-</w:t>
            </w:r>
          </w:p>
        </w:tc>
        <w:tc>
          <w:tcPr>
            <w:tcW w:w="1800" w:type="dxa"/>
          </w:tcPr>
          <w:p w14:paraId="25C5AFE6" w14:textId="77777777" w:rsidR="00845E52" w:rsidRDefault="000E5577">
            <w:pPr>
              <w:jc w:val="right"/>
            </w:pPr>
            <w:r>
              <w:rPr>
                <w:sz w:val="20"/>
              </w:rPr>
              <w:t>-</w:t>
            </w:r>
          </w:p>
        </w:tc>
      </w:tr>
      <w:tr w:rsidR="00845E52" w14:paraId="604C6467" w14:textId="77777777">
        <w:tc>
          <w:tcPr>
            <w:tcW w:w="3600" w:type="dxa"/>
          </w:tcPr>
          <w:p w14:paraId="2C9949EB" w14:textId="77777777" w:rsidR="00845E52" w:rsidRDefault="000E5577">
            <w:r>
              <w:rPr>
                <w:sz w:val="20"/>
              </w:rPr>
              <w:t>Protect in Fee w/o State PILT Liability</w:t>
            </w:r>
          </w:p>
        </w:tc>
        <w:tc>
          <w:tcPr>
            <w:tcW w:w="1800" w:type="dxa"/>
          </w:tcPr>
          <w:p w14:paraId="0FB57A7D" w14:textId="77777777" w:rsidR="00845E52" w:rsidRDefault="000E5577">
            <w:pPr>
              <w:jc w:val="right"/>
            </w:pPr>
            <w:r>
              <w:rPr>
                <w:sz w:val="20"/>
              </w:rPr>
              <w:t>-</w:t>
            </w:r>
          </w:p>
        </w:tc>
        <w:tc>
          <w:tcPr>
            <w:tcW w:w="1800" w:type="dxa"/>
          </w:tcPr>
          <w:p w14:paraId="4028D724" w14:textId="77777777" w:rsidR="00845E52" w:rsidRDefault="000E5577">
            <w:pPr>
              <w:jc w:val="right"/>
            </w:pPr>
            <w:r>
              <w:rPr>
                <w:sz w:val="20"/>
              </w:rPr>
              <w:t>-</w:t>
            </w:r>
          </w:p>
        </w:tc>
        <w:tc>
          <w:tcPr>
            <w:tcW w:w="1800" w:type="dxa"/>
          </w:tcPr>
          <w:p w14:paraId="79D24FB9" w14:textId="77777777" w:rsidR="00845E52" w:rsidRDefault="000E5577">
            <w:pPr>
              <w:jc w:val="right"/>
            </w:pPr>
            <w:r>
              <w:rPr>
                <w:sz w:val="20"/>
              </w:rPr>
              <w:t>-</w:t>
            </w:r>
          </w:p>
        </w:tc>
        <w:tc>
          <w:tcPr>
            <w:tcW w:w="1800" w:type="dxa"/>
          </w:tcPr>
          <w:p w14:paraId="14496FA2" w14:textId="77777777" w:rsidR="00845E52" w:rsidRDefault="000E5577">
            <w:pPr>
              <w:jc w:val="right"/>
            </w:pPr>
            <w:r>
              <w:rPr>
                <w:sz w:val="20"/>
              </w:rPr>
              <w:t>-</w:t>
            </w:r>
          </w:p>
        </w:tc>
      </w:tr>
      <w:tr w:rsidR="00845E52" w14:paraId="47025539" w14:textId="77777777">
        <w:tc>
          <w:tcPr>
            <w:tcW w:w="3600" w:type="dxa"/>
          </w:tcPr>
          <w:p w14:paraId="6DB4B95A" w14:textId="77777777" w:rsidR="00845E52" w:rsidRDefault="000E5577">
            <w:r>
              <w:rPr>
                <w:sz w:val="20"/>
              </w:rPr>
              <w:t xml:space="preserve">Protect in </w:t>
            </w:r>
            <w:r>
              <w:rPr>
                <w:sz w:val="20"/>
              </w:rPr>
              <w:t>Easement</w:t>
            </w:r>
          </w:p>
        </w:tc>
        <w:tc>
          <w:tcPr>
            <w:tcW w:w="1800" w:type="dxa"/>
          </w:tcPr>
          <w:p w14:paraId="4937AE27" w14:textId="77777777" w:rsidR="00845E52" w:rsidRDefault="000E5577">
            <w:pPr>
              <w:jc w:val="right"/>
            </w:pPr>
            <w:r>
              <w:rPr>
                <w:sz w:val="20"/>
              </w:rPr>
              <w:t>-</w:t>
            </w:r>
          </w:p>
        </w:tc>
        <w:tc>
          <w:tcPr>
            <w:tcW w:w="1800" w:type="dxa"/>
          </w:tcPr>
          <w:p w14:paraId="7820DCC4" w14:textId="77777777" w:rsidR="00845E52" w:rsidRDefault="000E5577">
            <w:pPr>
              <w:jc w:val="right"/>
            </w:pPr>
            <w:r>
              <w:rPr>
                <w:sz w:val="20"/>
              </w:rPr>
              <w:t>-</w:t>
            </w:r>
          </w:p>
        </w:tc>
        <w:tc>
          <w:tcPr>
            <w:tcW w:w="1800" w:type="dxa"/>
          </w:tcPr>
          <w:p w14:paraId="1FC239CD" w14:textId="77777777" w:rsidR="00845E52" w:rsidRDefault="000E5577">
            <w:pPr>
              <w:jc w:val="right"/>
            </w:pPr>
            <w:r>
              <w:rPr>
                <w:sz w:val="20"/>
              </w:rPr>
              <w:t>-</w:t>
            </w:r>
          </w:p>
        </w:tc>
        <w:tc>
          <w:tcPr>
            <w:tcW w:w="1800" w:type="dxa"/>
          </w:tcPr>
          <w:p w14:paraId="793024D7" w14:textId="77777777" w:rsidR="00845E52" w:rsidRDefault="000E5577">
            <w:pPr>
              <w:jc w:val="right"/>
            </w:pPr>
            <w:r>
              <w:rPr>
                <w:sz w:val="20"/>
              </w:rPr>
              <w:t>-</w:t>
            </w:r>
          </w:p>
        </w:tc>
      </w:tr>
      <w:tr w:rsidR="00845E52" w14:paraId="59899B28" w14:textId="77777777">
        <w:tc>
          <w:tcPr>
            <w:tcW w:w="3600" w:type="dxa"/>
          </w:tcPr>
          <w:p w14:paraId="3F8C5522" w14:textId="77777777" w:rsidR="00845E52" w:rsidRDefault="000E5577">
            <w:r>
              <w:rPr>
                <w:sz w:val="20"/>
              </w:rPr>
              <w:t>Enhance</w:t>
            </w:r>
          </w:p>
        </w:tc>
        <w:tc>
          <w:tcPr>
            <w:tcW w:w="1800" w:type="dxa"/>
          </w:tcPr>
          <w:p w14:paraId="05AAC2A3" w14:textId="77777777" w:rsidR="00845E52" w:rsidRDefault="000E5577">
            <w:pPr>
              <w:jc w:val="right"/>
            </w:pPr>
            <w:r>
              <w:rPr>
                <w:sz w:val="20"/>
              </w:rPr>
              <w:t>-</w:t>
            </w:r>
          </w:p>
        </w:tc>
        <w:tc>
          <w:tcPr>
            <w:tcW w:w="1800" w:type="dxa"/>
          </w:tcPr>
          <w:p w14:paraId="02F98D0F" w14:textId="77777777" w:rsidR="00845E52" w:rsidRDefault="000E5577">
            <w:pPr>
              <w:jc w:val="right"/>
            </w:pPr>
            <w:r>
              <w:rPr>
                <w:sz w:val="20"/>
              </w:rPr>
              <w:t>$2,150</w:t>
            </w:r>
          </w:p>
        </w:tc>
        <w:tc>
          <w:tcPr>
            <w:tcW w:w="1800" w:type="dxa"/>
          </w:tcPr>
          <w:p w14:paraId="3AA52183" w14:textId="77777777" w:rsidR="00845E52" w:rsidRDefault="000E5577">
            <w:pPr>
              <w:jc w:val="right"/>
            </w:pPr>
            <w:r>
              <w:rPr>
                <w:sz w:val="20"/>
              </w:rPr>
              <w:t>$2,000</w:t>
            </w:r>
          </w:p>
        </w:tc>
        <w:tc>
          <w:tcPr>
            <w:tcW w:w="1800" w:type="dxa"/>
          </w:tcPr>
          <w:p w14:paraId="6C0366BF" w14:textId="77777777" w:rsidR="00845E52" w:rsidRDefault="000E5577">
            <w:pPr>
              <w:jc w:val="right"/>
            </w:pPr>
            <w:r>
              <w:rPr>
                <w:sz w:val="20"/>
              </w:rPr>
              <w:t>$1,925</w:t>
            </w:r>
          </w:p>
        </w:tc>
      </w:tr>
    </w:tbl>
    <w:p w14:paraId="0F122B6B" w14:textId="77777777" w:rsidR="00845E52" w:rsidRDefault="000E5577">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845E52" w14:paraId="6C62330B" w14:textId="77777777">
        <w:tc>
          <w:tcPr>
            <w:tcW w:w="2880" w:type="dxa"/>
            <w:shd w:val="clear" w:color="auto" w:fill="AFC4E9"/>
          </w:tcPr>
          <w:p w14:paraId="47187233" w14:textId="77777777" w:rsidR="00845E52" w:rsidRDefault="000E5577">
            <w:r>
              <w:rPr>
                <w:b/>
                <w:color w:val="000000"/>
                <w:sz w:val="20"/>
              </w:rPr>
              <w:t>Type</w:t>
            </w:r>
          </w:p>
        </w:tc>
        <w:tc>
          <w:tcPr>
            <w:tcW w:w="1728" w:type="dxa"/>
            <w:shd w:val="clear" w:color="auto" w:fill="AFC4E9"/>
          </w:tcPr>
          <w:p w14:paraId="0FE1EF90" w14:textId="77777777" w:rsidR="00845E52" w:rsidRDefault="000E5577">
            <w:r>
              <w:rPr>
                <w:b/>
                <w:color w:val="000000"/>
                <w:sz w:val="20"/>
              </w:rPr>
              <w:t>Metro/Urban</w:t>
            </w:r>
          </w:p>
        </w:tc>
        <w:tc>
          <w:tcPr>
            <w:tcW w:w="1728" w:type="dxa"/>
            <w:shd w:val="clear" w:color="auto" w:fill="AFC4E9"/>
          </w:tcPr>
          <w:p w14:paraId="69B02367" w14:textId="77777777" w:rsidR="00845E52" w:rsidRDefault="000E5577">
            <w:r>
              <w:rPr>
                <w:b/>
                <w:color w:val="000000"/>
                <w:sz w:val="20"/>
              </w:rPr>
              <w:t>Forest/Prairie</w:t>
            </w:r>
          </w:p>
        </w:tc>
        <w:tc>
          <w:tcPr>
            <w:tcW w:w="1728" w:type="dxa"/>
            <w:shd w:val="clear" w:color="auto" w:fill="AFC4E9"/>
          </w:tcPr>
          <w:p w14:paraId="254B1A2F" w14:textId="77777777" w:rsidR="00845E52" w:rsidRDefault="000E5577">
            <w:r>
              <w:rPr>
                <w:b/>
                <w:color w:val="000000"/>
                <w:sz w:val="20"/>
              </w:rPr>
              <w:t>SE Forest</w:t>
            </w:r>
          </w:p>
        </w:tc>
        <w:tc>
          <w:tcPr>
            <w:tcW w:w="1728" w:type="dxa"/>
            <w:shd w:val="clear" w:color="auto" w:fill="AFC4E9"/>
          </w:tcPr>
          <w:p w14:paraId="4D3848E7" w14:textId="77777777" w:rsidR="00845E52" w:rsidRDefault="000E5577">
            <w:r>
              <w:rPr>
                <w:b/>
                <w:color w:val="000000"/>
                <w:sz w:val="20"/>
              </w:rPr>
              <w:t>Prairie</w:t>
            </w:r>
          </w:p>
        </w:tc>
        <w:tc>
          <w:tcPr>
            <w:tcW w:w="1728" w:type="dxa"/>
            <w:shd w:val="clear" w:color="auto" w:fill="AFC4E9"/>
          </w:tcPr>
          <w:p w14:paraId="035198DE" w14:textId="77777777" w:rsidR="00845E52" w:rsidRDefault="000E5577">
            <w:r>
              <w:rPr>
                <w:b/>
                <w:color w:val="000000"/>
                <w:sz w:val="20"/>
              </w:rPr>
              <w:t>N. Forest</w:t>
            </w:r>
          </w:p>
        </w:tc>
      </w:tr>
      <w:tr w:rsidR="00845E52" w14:paraId="7CDD944E" w14:textId="77777777">
        <w:tc>
          <w:tcPr>
            <w:tcW w:w="2880" w:type="dxa"/>
          </w:tcPr>
          <w:p w14:paraId="0E4D2842" w14:textId="77777777" w:rsidR="00845E52" w:rsidRDefault="000E5577">
            <w:r>
              <w:rPr>
                <w:sz w:val="20"/>
              </w:rPr>
              <w:t>Restore</w:t>
            </w:r>
          </w:p>
        </w:tc>
        <w:tc>
          <w:tcPr>
            <w:tcW w:w="1728" w:type="dxa"/>
          </w:tcPr>
          <w:p w14:paraId="410E2EBD" w14:textId="77777777" w:rsidR="00845E52" w:rsidRDefault="000E5577">
            <w:pPr>
              <w:jc w:val="right"/>
            </w:pPr>
            <w:r>
              <w:rPr>
                <w:sz w:val="20"/>
              </w:rPr>
              <w:t>$4,417</w:t>
            </w:r>
          </w:p>
        </w:tc>
        <w:tc>
          <w:tcPr>
            <w:tcW w:w="1728" w:type="dxa"/>
          </w:tcPr>
          <w:p w14:paraId="5823DC6E" w14:textId="77777777" w:rsidR="00845E52" w:rsidRDefault="000E5577">
            <w:pPr>
              <w:jc w:val="right"/>
            </w:pPr>
            <w:r>
              <w:rPr>
                <w:sz w:val="20"/>
              </w:rPr>
              <w:t>$4,452</w:t>
            </w:r>
          </w:p>
        </w:tc>
        <w:tc>
          <w:tcPr>
            <w:tcW w:w="1728" w:type="dxa"/>
          </w:tcPr>
          <w:p w14:paraId="72CC44A5" w14:textId="77777777" w:rsidR="00845E52" w:rsidRDefault="000E5577">
            <w:pPr>
              <w:jc w:val="right"/>
            </w:pPr>
            <w:r>
              <w:rPr>
                <w:sz w:val="20"/>
              </w:rPr>
              <w:t>$6,107</w:t>
            </w:r>
          </w:p>
        </w:tc>
        <w:tc>
          <w:tcPr>
            <w:tcW w:w="1728" w:type="dxa"/>
          </w:tcPr>
          <w:p w14:paraId="2172623B" w14:textId="77777777" w:rsidR="00845E52" w:rsidRDefault="000E5577">
            <w:pPr>
              <w:jc w:val="right"/>
            </w:pPr>
            <w:r>
              <w:rPr>
                <w:sz w:val="20"/>
              </w:rPr>
              <w:t>$4,387</w:t>
            </w:r>
          </w:p>
        </w:tc>
        <w:tc>
          <w:tcPr>
            <w:tcW w:w="1728" w:type="dxa"/>
          </w:tcPr>
          <w:p w14:paraId="3C2F47AD" w14:textId="77777777" w:rsidR="00845E52" w:rsidRDefault="000E5577">
            <w:pPr>
              <w:jc w:val="right"/>
            </w:pPr>
            <w:r>
              <w:rPr>
                <w:sz w:val="20"/>
              </w:rPr>
              <w:t>-</w:t>
            </w:r>
          </w:p>
        </w:tc>
      </w:tr>
      <w:tr w:rsidR="00845E52" w14:paraId="0B9D5810" w14:textId="77777777">
        <w:tc>
          <w:tcPr>
            <w:tcW w:w="2880" w:type="dxa"/>
          </w:tcPr>
          <w:p w14:paraId="5B8F7A15" w14:textId="77777777" w:rsidR="00845E52" w:rsidRDefault="000E5577">
            <w:r>
              <w:rPr>
                <w:sz w:val="20"/>
              </w:rPr>
              <w:t>Protect in Fee with State PILT Liability</w:t>
            </w:r>
          </w:p>
        </w:tc>
        <w:tc>
          <w:tcPr>
            <w:tcW w:w="1728" w:type="dxa"/>
          </w:tcPr>
          <w:p w14:paraId="2A4B5A50" w14:textId="77777777" w:rsidR="00845E52" w:rsidRDefault="000E5577">
            <w:pPr>
              <w:jc w:val="right"/>
            </w:pPr>
            <w:r>
              <w:rPr>
                <w:sz w:val="20"/>
              </w:rPr>
              <w:t>-</w:t>
            </w:r>
          </w:p>
        </w:tc>
        <w:tc>
          <w:tcPr>
            <w:tcW w:w="1728" w:type="dxa"/>
          </w:tcPr>
          <w:p w14:paraId="27D46B02" w14:textId="77777777" w:rsidR="00845E52" w:rsidRDefault="000E5577">
            <w:pPr>
              <w:jc w:val="right"/>
            </w:pPr>
            <w:r>
              <w:rPr>
                <w:sz w:val="20"/>
              </w:rPr>
              <w:t>-</w:t>
            </w:r>
          </w:p>
        </w:tc>
        <w:tc>
          <w:tcPr>
            <w:tcW w:w="1728" w:type="dxa"/>
          </w:tcPr>
          <w:p w14:paraId="1B19EB32" w14:textId="77777777" w:rsidR="00845E52" w:rsidRDefault="000E5577">
            <w:pPr>
              <w:jc w:val="right"/>
            </w:pPr>
            <w:r>
              <w:rPr>
                <w:sz w:val="20"/>
              </w:rPr>
              <w:t>-</w:t>
            </w:r>
          </w:p>
        </w:tc>
        <w:tc>
          <w:tcPr>
            <w:tcW w:w="1728" w:type="dxa"/>
          </w:tcPr>
          <w:p w14:paraId="4C608ADF" w14:textId="77777777" w:rsidR="00845E52" w:rsidRDefault="000E5577">
            <w:pPr>
              <w:jc w:val="right"/>
            </w:pPr>
            <w:r>
              <w:rPr>
                <w:sz w:val="20"/>
              </w:rPr>
              <w:t>-</w:t>
            </w:r>
          </w:p>
        </w:tc>
        <w:tc>
          <w:tcPr>
            <w:tcW w:w="1728" w:type="dxa"/>
          </w:tcPr>
          <w:p w14:paraId="2EBC5F36" w14:textId="77777777" w:rsidR="00845E52" w:rsidRDefault="000E5577">
            <w:pPr>
              <w:jc w:val="right"/>
            </w:pPr>
            <w:r>
              <w:rPr>
                <w:sz w:val="20"/>
              </w:rPr>
              <w:t>-</w:t>
            </w:r>
          </w:p>
        </w:tc>
      </w:tr>
      <w:tr w:rsidR="00845E52" w14:paraId="3C15D44C" w14:textId="77777777">
        <w:tc>
          <w:tcPr>
            <w:tcW w:w="2880" w:type="dxa"/>
          </w:tcPr>
          <w:p w14:paraId="2E480F31" w14:textId="77777777" w:rsidR="00845E52" w:rsidRDefault="000E5577">
            <w:r>
              <w:rPr>
                <w:sz w:val="20"/>
              </w:rPr>
              <w:t>Protect in Fee w/o State PILT Liability</w:t>
            </w:r>
          </w:p>
        </w:tc>
        <w:tc>
          <w:tcPr>
            <w:tcW w:w="1728" w:type="dxa"/>
          </w:tcPr>
          <w:p w14:paraId="1D7B992E" w14:textId="77777777" w:rsidR="00845E52" w:rsidRDefault="000E5577">
            <w:pPr>
              <w:jc w:val="right"/>
            </w:pPr>
            <w:r>
              <w:rPr>
                <w:sz w:val="20"/>
              </w:rPr>
              <w:t>-</w:t>
            </w:r>
          </w:p>
        </w:tc>
        <w:tc>
          <w:tcPr>
            <w:tcW w:w="1728" w:type="dxa"/>
          </w:tcPr>
          <w:p w14:paraId="29B02D0A" w14:textId="77777777" w:rsidR="00845E52" w:rsidRDefault="000E5577">
            <w:pPr>
              <w:jc w:val="right"/>
            </w:pPr>
            <w:r>
              <w:rPr>
                <w:sz w:val="20"/>
              </w:rPr>
              <w:t>-</w:t>
            </w:r>
          </w:p>
        </w:tc>
        <w:tc>
          <w:tcPr>
            <w:tcW w:w="1728" w:type="dxa"/>
          </w:tcPr>
          <w:p w14:paraId="66BC9C5E" w14:textId="77777777" w:rsidR="00845E52" w:rsidRDefault="000E5577">
            <w:pPr>
              <w:jc w:val="right"/>
            </w:pPr>
            <w:r>
              <w:rPr>
                <w:sz w:val="20"/>
              </w:rPr>
              <w:t>-</w:t>
            </w:r>
          </w:p>
        </w:tc>
        <w:tc>
          <w:tcPr>
            <w:tcW w:w="1728" w:type="dxa"/>
          </w:tcPr>
          <w:p w14:paraId="6CC7A3C7" w14:textId="77777777" w:rsidR="00845E52" w:rsidRDefault="000E5577">
            <w:pPr>
              <w:jc w:val="right"/>
            </w:pPr>
            <w:r>
              <w:rPr>
                <w:sz w:val="20"/>
              </w:rPr>
              <w:t>-</w:t>
            </w:r>
          </w:p>
        </w:tc>
        <w:tc>
          <w:tcPr>
            <w:tcW w:w="1728" w:type="dxa"/>
          </w:tcPr>
          <w:p w14:paraId="41E2FD22" w14:textId="77777777" w:rsidR="00845E52" w:rsidRDefault="000E5577">
            <w:pPr>
              <w:jc w:val="right"/>
            </w:pPr>
            <w:r>
              <w:rPr>
                <w:sz w:val="20"/>
              </w:rPr>
              <w:t>-</w:t>
            </w:r>
          </w:p>
        </w:tc>
      </w:tr>
      <w:tr w:rsidR="00845E52" w14:paraId="3CAE1EEF" w14:textId="77777777">
        <w:tc>
          <w:tcPr>
            <w:tcW w:w="2880" w:type="dxa"/>
          </w:tcPr>
          <w:p w14:paraId="2C7E445F" w14:textId="77777777" w:rsidR="00845E52" w:rsidRDefault="000E5577">
            <w:r>
              <w:rPr>
                <w:sz w:val="20"/>
              </w:rPr>
              <w:t>Protect in Easement</w:t>
            </w:r>
          </w:p>
        </w:tc>
        <w:tc>
          <w:tcPr>
            <w:tcW w:w="1728" w:type="dxa"/>
          </w:tcPr>
          <w:p w14:paraId="0311C569" w14:textId="77777777" w:rsidR="00845E52" w:rsidRDefault="000E5577">
            <w:pPr>
              <w:jc w:val="right"/>
            </w:pPr>
            <w:r>
              <w:rPr>
                <w:sz w:val="20"/>
              </w:rPr>
              <w:t>-</w:t>
            </w:r>
          </w:p>
        </w:tc>
        <w:tc>
          <w:tcPr>
            <w:tcW w:w="1728" w:type="dxa"/>
          </w:tcPr>
          <w:p w14:paraId="5BCEF8E7" w14:textId="77777777" w:rsidR="00845E52" w:rsidRDefault="000E5577">
            <w:pPr>
              <w:jc w:val="right"/>
            </w:pPr>
            <w:r>
              <w:rPr>
                <w:sz w:val="20"/>
              </w:rPr>
              <w:t>-</w:t>
            </w:r>
          </w:p>
        </w:tc>
        <w:tc>
          <w:tcPr>
            <w:tcW w:w="1728" w:type="dxa"/>
          </w:tcPr>
          <w:p w14:paraId="2E2F92C2" w14:textId="77777777" w:rsidR="00845E52" w:rsidRDefault="000E5577">
            <w:pPr>
              <w:jc w:val="right"/>
            </w:pPr>
            <w:r>
              <w:rPr>
                <w:sz w:val="20"/>
              </w:rPr>
              <w:t>-</w:t>
            </w:r>
          </w:p>
        </w:tc>
        <w:tc>
          <w:tcPr>
            <w:tcW w:w="1728" w:type="dxa"/>
          </w:tcPr>
          <w:p w14:paraId="721DE8FA" w14:textId="77777777" w:rsidR="00845E52" w:rsidRDefault="000E5577">
            <w:pPr>
              <w:jc w:val="right"/>
            </w:pPr>
            <w:r>
              <w:rPr>
                <w:sz w:val="20"/>
              </w:rPr>
              <w:t>-</w:t>
            </w:r>
          </w:p>
        </w:tc>
        <w:tc>
          <w:tcPr>
            <w:tcW w:w="1728" w:type="dxa"/>
          </w:tcPr>
          <w:p w14:paraId="007FAA1F" w14:textId="77777777" w:rsidR="00845E52" w:rsidRDefault="000E5577">
            <w:pPr>
              <w:jc w:val="right"/>
            </w:pPr>
            <w:r>
              <w:rPr>
                <w:sz w:val="20"/>
              </w:rPr>
              <w:t>-</w:t>
            </w:r>
          </w:p>
        </w:tc>
      </w:tr>
      <w:tr w:rsidR="00845E52" w14:paraId="6FC63C7D" w14:textId="77777777">
        <w:tc>
          <w:tcPr>
            <w:tcW w:w="2880" w:type="dxa"/>
          </w:tcPr>
          <w:p w14:paraId="7EE58F16" w14:textId="77777777" w:rsidR="00845E52" w:rsidRDefault="000E5577">
            <w:r>
              <w:rPr>
                <w:sz w:val="20"/>
              </w:rPr>
              <w:t>Enhance</w:t>
            </w:r>
          </w:p>
        </w:tc>
        <w:tc>
          <w:tcPr>
            <w:tcW w:w="1728" w:type="dxa"/>
          </w:tcPr>
          <w:p w14:paraId="47AF499C" w14:textId="77777777" w:rsidR="00845E52" w:rsidRDefault="000E5577">
            <w:pPr>
              <w:jc w:val="right"/>
            </w:pPr>
            <w:r>
              <w:rPr>
                <w:sz w:val="20"/>
              </w:rPr>
              <w:t>$2,000</w:t>
            </w:r>
          </w:p>
        </w:tc>
        <w:tc>
          <w:tcPr>
            <w:tcW w:w="1728" w:type="dxa"/>
          </w:tcPr>
          <w:p w14:paraId="2AA7C103" w14:textId="77777777" w:rsidR="00845E52" w:rsidRDefault="000E5577">
            <w:pPr>
              <w:jc w:val="right"/>
            </w:pPr>
            <w:r>
              <w:rPr>
                <w:sz w:val="20"/>
              </w:rPr>
              <w:t>$2,000</w:t>
            </w:r>
          </w:p>
        </w:tc>
        <w:tc>
          <w:tcPr>
            <w:tcW w:w="1728" w:type="dxa"/>
          </w:tcPr>
          <w:p w14:paraId="00A453AE" w14:textId="77777777" w:rsidR="00845E52" w:rsidRDefault="000E5577">
            <w:pPr>
              <w:jc w:val="right"/>
            </w:pPr>
            <w:r>
              <w:rPr>
                <w:sz w:val="20"/>
              </w:rPr>
              <w:t>$1,000</w:t>
            </w:r>
          </w:p>
        </w:tc>
        <w:tc>
          <w:tcPr>
            <w:tcW w:w="1728" w:type="dxa"/>
          </w:tcPr>
          <w:p w14:paraId="3B2AE78B" w14:textId="77777777" w:rsidR="00845E52" w:rsidRDefault="000E5577">
            <w:pPr>
              <w:jc w:val="right"/>
            </w:pPr>
            <w:r>
              <w:rPr>
                <w:sz w:val="20"/>
              </w:rPr>
              <w:t>$4,000</w:t>
            </w:r>
          </w:p>
        </w:tc>
        <w:tc>
          <w:tcPr>
            <w:tcW w:w="1728" w:type="dxa"/>
          </w:tcPr>
          <w:p w14:paraId="78019536" w14:textId="77777777" w:rsidR="00845E52" w:rsidRDefault="000E5577">
            <w:pPr>
              <w:jc w:val="right"/>
            </w:pPr>
            <w:r>
              <w:rPr>
                <w:sz w:val="20"/>
              </w:rPr>
              <w:t>-</w:t>
            </w:r>
          </w:p>
        </w:tc>
      </w:tr>
    </w:tbl>
    <w:p w14:paraId="230B7BA0" w14:textId="77777777" w:rsidR="00845E52" w:rsidRDefault="000E5577">
      <w:pPr>
        <w:pStyle w:val="Heading3"/>
        <w:spacing w:before="60" w:after="80"/>
      </w:pPr>
      <w:r>
        <w:rPr>
          <w:color w:val="254885"/>
          <w:sz w:val="26"/>
        </w:rPr>
        <w:t>Target Lake/Stream/River Feet or Miles</w:t>
      </w:r>
    </w:p>
    <w:p w14:paraId="0A92787A" w14:textId="77777777" w:rsidR="00845E52" w:rsidRDefault="000E5577">
      <w:r>
        <w:t xml:space="preserve"> </w:t>
      </w:r>
    </w:p>
    <w:p w14:paraId="3024A182" w14:textId="77777777" w:rsidR="00845E52" w:rsidRDefault="000E5577">
      <w:r>
        <w:br w:type="page"/>
      </w:r>
    </w:p>
    <w:p w14:paraId="0854D31E" w14:textId="77777777" w:rsidR="00845E52" w:rsidRDefault="000E5577">
      <w:pPr>
        <w:pStyle w:val="Heading2"/>
        <w:spacing w:before="0" w:after="80"/>
        <w:jc w:val="center"/>
      </w:pPr>
      <w:r>
        <w:rPr>
          <w:color w:val="2C559C"/>
          <w:sz w:val="28"/>
          <w:u w:val="single"/>
        </w:rPr>
        <w:lastRenderedPageBreak/>
        <w:t>Parcels</w:t>
      </w:r>
    </w:p>
    <w:p w14:paraId="3933E60A" w14:textId="77777777" w:rsidR="00845E52" w:rsidRDefault="000E5577">
      <w:r>
        <w:rPr>
          <w:b/>
        </w:rPr>
        <w:t xml:space="preserve">Sign-up Criteria?  </w:t>
      </w:r>
      <w:r>
        <w:rPr>
          <w:b/>
        </w:rPr>
        <w:br/>
      </w:r>
      <w:hyperlink r:id="rId9">
        <w:r w:rsidR="00845E52">
          <w:rPr>
            <w:color w:val="0000FF" w:themeColor="hyperlink"/>
            <w:sz w:val="20"/>
            <w:u w:val="single"/>
          </w:rPr>
          <w:t>Yes - Sign up criteria is attached</w:t>
        </w:r>
      </w:hyperlink>
    </w:p>
    <w:p w14:paraId="170CD3B2" w14:textId="77777777" w:rsidR="00845E52" w:rsidRDefault="000E5577">
      <w:r>
        <w:rPr>
          <w:b/>
        </w:rPr>
        <w:t xml:space="preserve">Explain the process used to identify, prioritize, and select the parcels on your list:  </w:t>
      </w:r>
      <w:r>
        <w:rPr>
          <w:b/>
        </w:rPr>
        <w:br/>
      </w:r>
      <w:r>
        <w:t xml:space="preserve"> </w:t>
      </w:r>
    </w:p>
    <w:sectPr w:rsidR="00845E52"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6589" w14:textId="77777777" w:rsidR="0062559E" w:rsidRDefault="0062559E" w:rsidP="008B4B83">
      <w:pPr>
        <w:spacing w:after="0" w:line="240" w:lineRule="auto"/>
      </w:pPr>
      <w:r>
        <w:separator/>
      </w:r>
    </w:p>
  </w:endnote>
  <w:endnote w:type="continuationSeparator" w:id="0">
    <w:p w14:paraId="3A616536" w14:textId="77777777" w:rsidR="0062559E" w:rsidRDefault="0062559E"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7D1F"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991E5D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BD79" w14:textId="77777777" w:rsidR="0062559E" w:rsidRDefault="0062559E" w:rsidP="008B4B83">
      <w:pPr>
        <w:spacing w:after="0" w:line="240" w:lineRule="auto"/>
      </w:pPr>
      <w:r>
        <w:separator/>
      </w:r>
    </w:p>
  </w:footnote>
  <w:footnote w:type="continuationSeparator" w:id="0">
    <w:p w14:paraId="03E3C815" w14:textId="77777777" w:rsidR="0062559E" w:rsidRDefault="0062559E"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B482" w14:textId="77777777" w:rsidR="00845E52" w:rsidRDefault="000E5577">
    <w:pPr>
      <w:pStyle w:val="Header"/>
      <w:jc w:val="right"/>
    </w:pPr>
    <w:r>
      <w:t>Proposal #: HRE08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8908329">
    <w:abstractNumId w:val="8"/>
  </w:num>
  <w:num w:numId="2" w16cid:durableId="171263938">
    <w:abstractNumId w:val="6"/>
  </w:num>
  <w:num w:numId="3" w16cid:durableId="1757626368">
    <w:abstractNumId w:val="5"/>
  </w:num>
  <w:num w:numId="4" w16cid:durableId="777456752">
    <w:abstractNumId w:val="4"/>
  </w:num>
  <w:num w:numId="5" w16cid:durableId="482280806">
    <w:abstractNumId w:val="7"/>
  </w:num>
  <w:num w:numId="6" w16cid:durableId="173225978">
    <w:abstractNumId w:val="3"/>
  </w:num>
  <w:num w:numId="7" w16cid:durableId="811870697">
    <w:abstractNumId w:val="2"/>
  </w:num>
  <w:num w:numId="8" w16cid:durableId="250549256">
    <w:abstractNumId w:val="1"/>
  </w:num>
  <w:num w:numId="9" w16cid:durableId="41687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577"/>
    <w:rsid w:val="0015074B"/>
    <w:rsid w:val="001D6589"/>
    <w:rsid w:val="001F5C41"/>
    <w:rsid w:val="0029639D"/>
    <w:rsid w:val="002C08D0"/>
    <w:rsid w:val="00326F90"/>
    <w:rsid w:val="00343803"/>
    <w:rsid w:val="0062559E"/>
    <w:rsid w:val="006A4748"/>
    <w:rsid w:val="00845E52"/>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C04D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2c0788d9-8e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4690</Words>
  <Characters>27301</Characters>
  <Application>Microsoft Office Word</Application>
  <DocSecurity>0</DocSecurity>
  <Lines>853</Lines>
  <Paragraphs>615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Oak Savanna Restoration for Living Landscapes</dc:title>
  <dc:subject/>
  <dc:creator>LSOHC</dc:creator>
  <cp:keywords/>
  <dc:description>generated by python-docx</dc:description>
  <cp:lastModifiedBy>Tom Rebman</cp:lastModifiedBy>
  <cp:revision>2</cp:revision>
  <dcterms:created xsi:type="dcterms:W3CDTF">2025-06-26T23:38:00Z</dcterms:created>
  <dcterms:modified xsi:type="dcterms:W3CDTF">2025-06-26T23:38:00Z</dcterms:modified>
  <cp:category/>
  <dc:language>English</dc:language>
</cp:coreProperties>
</file>